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THG Investor Kelso Opposes Reappointment of Chairman Amid Shareholder Dissatisfaction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THG Investor to Vote Against Chairman's Reappointment</w:t>
      </w:r>
      <w:r/>
    </w:p>
    <w:p>
      <w:r/>
      <w:r>
        <w:t>Kelso, an activist investor in UK ecommerce company THG, announced it will vote against the reappointment of Chairman Charles Allen at the upcoming annual meeting on June 24, 2024. Kelso holds a 0.5% stake in THG and has expressed disappointment with the company's progress in improving its share price and executing strategic plans.</w:t>
      </w:r>
      <w:r/>
    </w:p>
    <w:p>
      <w:r/>
      <w:r>
        <w:t>THG, formerly known as The Hut Group, listed in London in 2020 with a £5.4 billion valuation. Since its IPO, the company's shares have plummeted 90%. CEO and co-founder Matthew Moulding attributes these struggles to investor wariness and negative media coverage. However, Kelso contends that the company itself is responsible for the poor performance, citing unaddressed strategic and structural issues.</w:t>
      </w:r>
      <w:r/>
    </w:p>
    <w:p>
      <w:r/>
      <w:r>
        <w:t>Kelso has specifically criticized THG for not spinning off its divisions or moving to a premium market listing. Charles Allen, who joined THG in 2022 to improve corporate governance, has faced scrutiny for the company’s lack of progress. Despite recent initiatives, including Allen's appointment and Moulding relinquishing his "golden share," the company continues to face financial difficulties, including significant losses and job cuts.</w:t>
      </w:r>
      <w:r/>
    </w:p>
    <w:p>
      <w:r/>
      <w:r>
        <w:t>Kelso has also previously suggested that THG should offload its Myprotein nutrition business and switch to a premium stock market listing. Despite these recommendations, the company has yet to make such changes. THG declined to comment on the situation.</w:t>
      </w:r>
      <w:r/>
    </w:p>
    <w:p>
      <w:r/>
      <w:r>
        <w:t>The annual meeting will be a pivotal moment for the company as it navigates shareholder dissatisfaction and strategic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