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Proposed Tax Policy Could Increase Burden for Poor and Middle-Class Americans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Trump's Proposed Tax Policy: Increase in Burden for Poor and Middle-Class</w:t>
      </w:r>
      <w:r/>
    </w:p>
    <w:p>
      <w:r/>
      <w:r>
        <w:t>In a new analysis by the Peterson Institute for International Economics (PIIE), it is projected that another term under former President Donald Trump could result in an increased tax burden for poorer and middle-class Americans. Trump's tax reform in 2017 lowered corporate and personal income tax rates, primarily benefiting wealthier households. While initial benefits were widespread, most personal-income tax cuts are set to expire in 2025.</w:t>
      </w:r>
      <w:r/>
    </w:p>
    <w:p>
      <w:r/>
      <w:r>
        <w:t>Trump has promised to extend these tax cuts and further reduce corporate rates if re-elected, ostensibly lowering taxes for most Americans. However, his proposed 10% universal tariff on all imports, and a potential 60% or higher tariff on Chinese-manufactured goods, could negate the benefits of extended tax cuts. Clausing and Lovely of the PIIE estimate that the median household could see approximately $1,700 annually in additional costs due to these tariffs. Lower-income households, which spend a larger portion of their income on goods, would be particularly hard-hit, potentially resulting in a net income decrease despite tax cut extensions.</w:t>
      </w:r>
      <w:r/>
    </w:p>
    <w:p>
      <w:r/>
      <w:r>
        <w:t>These findings suggest a regressive impact where the poorer households face increased expenses that overshadow the benefits of tax cuts, while wealthier individuals enjoy a net gain. The analysis does not account for potential retaliatory measures from trade partners, which could further exacerbate economic impacts.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