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Marks &amp; Spencer Reports Highest Profit in a Decade with Strong Growth in Food and Clothing Divisions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Marks &amp; Spencer has reported its highest profit in a decade, showing significant recovery through growth in its food and clothing divisions. For the financial year ending March 30, 2023, the retailer recorded a pre-tax profit of £716 million, a substantial rise from the previous year’s £453 million. Group revenues increased by 9.4% to £13 billion.</w:t>
      </w:r>
      <w:r/>
    </w:p>
    <w:p>
      <w:r/>
      <w:r>
        <w:t>The company’s chief executive, Stuart Machin, stated that two years into their "Reshape for Growth" plan, M&amp;S is seeing the early stages of a revitalized business. The food and clothing &amp; home divisions both saw volume and value gains. This marks 12 consecutive quarters of sales growth.</w:t>
      </w:r>
      <w:r/>
    </w:p>
    <w:p>
      <w:r/>
      <w:r>
        <w:t>M&amp;S has been closing underperforming stores while opening and expanding its more popular food shops. Despite the positive performance, the company's partnership with Ocado remains below profitability expectations.</w:t>
      </w:r>
      <w:r/>
    </w:p>
    <w:p>
      <w:r/>
      <w:r>
        <w:t>Retail analysts are optimistic about M&amp;S’s future, with the company expressing confidence in continued progress. Shares of M&amp;S opened at 273p, reflecting a 68% increase over the past year.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