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Inflation Slows to 2.3% in April, Falling Short of Market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Inflation Slows to 2.3% in April, Disappointing Market Expectations</w:t>
      </w:r>
      <w:r/>
    </w:p>
    <w:p>
      <w:r/>
      <w:r>
        <w:t>London, May 22, 2024 - The UK’s annual inflation rate decreased from 3.2% in March to 2.3% in April, the lowest level in nearly three years, according to the Office for National Statistics (ONS). This figure fell short of the anticipated 2.1% projected by economists.</w:t>
      </w:r>
      <w:r/>
    </w:p>
    <w:p>
      <w:r/>
      <w:r>
        <w:t>The sharpest decline was seen in household energy bills, with electricity, gas, and other fuel prices dropping 27.1% compared to April 2023, the largest decrease since records began in 1989. Food price inflation also eased, reducing from 4% to 2.9%.</w:t>
      </w:r>
      <w:r/>
    </w:p>
    <w:p>
      <w:r/>
      <w:r>
        <w:t>Despite these declines, core inflation, excluding volatile items such as food and energy, fell from 4.2% to 3.9%, not meeting the expected 3.6%. Additionally, services sector inflation, closely monitored by the Bank of England, saw only a slight reduction from 6% to 5.9%.</w:t>
      </w:r>
      <w:r/>
    </w:p>
    <w:p>
      <w:r/>
      <w:r>
        <w:t>Chancellor Jeremy Hunt acknowledged the reduction in inflation but noted that the public still feels the economic strain caused by recent "economic shocks," including the pandemic and the energy crisis. He emphasized the difficulty of achieving significant improvements in living standards under current conditions but highlighted government actions aimed at supporting households.</w:t>
      </w:r>
      <w:r/>
    </w:p>
    <w:p>
      <w:r/>
      <w:r>
        <w:t>Prime Minister Rishi Sunak described the decrease in inflation as a "major milestone," though he admitted that more efforts are needed to stabilize the economy fully.</w:t>
      </w:r>
      <w:r/>
    </w:p>
    <w:p>
      <w:r/>
      <w:r>
        <w:t xml:space="preserve">The Bank of England’s upcoming monetary policy decisions are expected to take into account the persistent service sector inflation, potentially delaying any interest rate cuts. </w:t>
      </w:r>
      <w:r/>
    </w:p>
    <w:p>
      <w:r/>
      <w:r>
        <w:t>The April data reflects the continuing economic challenges faced by the UK, even as some price pressures begin to ease.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