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US Economy Faces Split Trajectory Amid Rising Concerns and Disparities in Consumer Behaviour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After years of economic challenges from inflation and geopolitical instability, the US economy has maintained its resilience, primarily driven by consumer spending, which accounts for about 70% of GDP. However, concerns are emerging about the economy's split trajectory. Unemployment rose to 3.9% in the previous month, and businesses are cutting hours and wages. While consumer growth is generally moderating, financial stress is mounting for lower-income households due to rising prices and softening job prospects.</w:t>
      </w:r>
      <w:r/>
    </w:p>
    <w:p>
      <w:r/>
      <w:r>
        <w:t>Key earnings reports reflect this divide: McDonald's noted customers seeking value, Starbucks observed more selective spending patterns, and Mondelez highlighted increased price sensitivity. A Santander Bank survey indicated that while inflation fears have subsided, 60% of middle-income Americans expect a recession within a year and 62% are cutting household spending.</w:t>
      </w:r>
      <w:r/>
    </w:p>
    <w:p>
      <w:r/>
      <w:r>
        <w:t>The "rolling recession" theory suggests that economic downturns affect different sectors and income levels unevenly. Despite overall wealth and spending increases since 2020, disparities remain, with lower-income groups facing greater challenges. This uneven recovery complicates policy decisions, such as potential Federal Reserve interest rate adjustments.</w:t>
      </w:r>
      <w:r/>
    </w:p>
    <w:p>
      <w:r/>
      <w:r>
        <w:t>In corporate news, JPMorgan Chase CEO Jamie Dimon has advanced his retirement plans, with speculation about a potential succession around 2025 or 2026. Microsoft has introduced AI-driven PCs to boost declining sales, aiming for a significant technological breakthrough. The UK's FTSE 100 saw a slight decline, and several companies, including Marks &amp; Spencer and SSE, shared varied financial updates.</w:t>
      </w:r>
      <w:r/>
    </w:p>
    <w:p>
      <w:r/>
      <w:r>
        <w:t>TikTok announced significant layoffs across its global workforce, while Severn Trent reported increased profits amid rising customer bills but also higher instances of sewage spills. BT faced a £2.8 million fine over contract issues, and Citigroup was fined nearly £62 million by UK regulators for trading system failures. The inflation rate in the UK dropped to 2.3% in April, but higher-than-expected numbers indicate interest rates might remain steady.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