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FTSE 100 Surges in 2024 Despite Economic Data and Inflation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FTSE 100, the UK's blue-chip stock index, has seen significant gains in 2024, rising approximately 9.4% to reach 8,479 despite recent economic data from the US Federal Reserve and higher-than-expected UK inflation impacting momentum. The FTSE 100 has historically trailed global peers due to factors like Brexit and decreased international investment, but expectations of improved GDP, easing inflation, and potential interest rate cuts have revived interest.</w:t>
      </w:r>
      <w:r/>
    </w:p>
    <w:p>
      <w:r/>
      <w:r>
        <w:t xml:space="preserve">Analysts note that UK assets are relatively cheap compared to the US market, and a global risk rally has contributed to the FTSE 100's rise. However, experts caution that its performance remains tied to global market confidence, including US inflation trends and potential rate cuts by the Federal Reserve. </w:t>
      </w:r>
      <w:r/>
    </w:p>
    <w:p>
      <w:r/>
      <w:r>
        <w:t>Key risks include potential surprises in US inflation, geopolitical factors, and UK-specific issues such as economic growth or political instability. Analysts like Laith Khalaf from AJ Bell and Paul Jackson from Invesco emphasize the importance of continued global market confidence for sustained progress.</w:t>
      </w:r>
      <w:r/>
    </w:p>
    <w:p>
      <w:r/>
      <w:r>
        <w:t>In addition, an influential business survey suggests the UK service sector's price inflation is cooling, raising hopes for a Bank of England interest rate cut in August. The S&amp;P Global flash UK PMI showed a slight dip in services growth but an encouraging manufacturing rebound. Slowing inflation and competitive pricing indicate a potential easing of economic pressures, possibly paving the way for monetary policy adjustments later in the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