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Abrdn CEO Stephen Bird Resigns Amid Restructuring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Abrdn CEO Steps Down Amid Restructuring and Challenges</w:t>
      </w:r>
      <w:r/>
    </w:p>
    <w:p>
      <w:r/>
      <w:r>
        <w:t>Stephen Bird has resigned as CEO of Abrdn, a position he has held since July 2020. Bird will remain with the company until the end of June to facilitate a smooth transition. The Edinburgh-based asset manager will be led by CFO Jason Windsor on an interim basis while a search for a permanent CEO is conducted.</w:t>
      </w:r>
      <w:r/>
    </w:p>
    <w:p>
      <w:r/>
      <w:r>
        <w:t>Bird's tenure at Abrdn included overseeing a significant rebrand and the simplification of the firm, which was formed by the 2017 merger of Standard Life and Aberdeen Asset Management. Under Bird's leadership, Abrdn attempted to revive its fortunes through cost-cutting measures and expanding its wealth management and retail investment services. In May 2022, Abrdn acquired Interactive Investor for £1.5 billion, aiming to bolster its position in the online trading space.</w:t>
      </w:r>
      <w:r/>
    </w:p>
    <w:p>
      <w:r/>
      <w:r>
        <w:t>Despite these efforts, the company faced substantial challenges, including a significant outflow of funds, leading to its exclusion from the FTSE 100 Index twice. The firm's assets under management declined by approximately £47 billion between 2021 and 2023, ending at £494.9 billion. The company also faced criticism for its rebranding decision, which involved dropping vowels from its previous name, Standard Life Aberdeen, to become Abrdn.</w:t>
      </w:r>
      <w:r/>
    </w:p>
    <w:p>
      <w:r/>
      <w:r>
        <w:t>As of late Friday afternoon, Abrdn's shares had risen 0.35% to 156.55p. Sir Douglas Flint, Abrdn's chairman, noted Bird's contributions to reshaping the company in a fast-evolving sector, highlighting his strategic vision and leadership.</w:t>
      </w:r>
      <w:r/>
    </w:p>
    <w:p>
      <w:r/>
      <w:r>
        <w:t>Bird expressed pride in the work done to position Abrdn for sustainable growth, citing the efforts of the refreshed leadership team and the company’s global investment business.</w:t>
      </w:r>
      <w:r/>
    </w:p>
    <w:p>
      <w:pPr>
        <w:pStyle w:val="Heading3"/>
      </w:pPr>
      <w:r>
        <w:t>UK Energy Bills to Decrease in July</w:t>
      </w:r>
      <w:r/>
    </w:p>
    <w:p>
      <w:r/>
      <w:r>
        <w:t>From July, millions of UK households will see a 7% reduction in energy bills, according to the regulator Ofgem. This change is due to a reduction in the price cap, which dictates the maximum chargeable rates for standard variable-rate tariffs. Households paying by direct debit will see yearly gas and electricity bills fall from £1,690 to £1,568 on average.</w:t>
      </w:r>
      <w:r/>
    </w:p>
    <w:p>
      <w:r/>
      <w:r>
        <w:t>The exact savings for each household will depend on their energy usage. Prepayment meter users will see their average yearly bills decrease from £1,643 to £1,522, and those billed monthly will experience a reduction from £1,796 to £1,668.</w:t>
      </w:r>
      <w:r/>
    </w:p>
    <w:p>
      <w:r/>
      <w:r>
        <w:t>Though unit rates for electricity and gas are set to fall, the daily standing charges remain almost unchanged. This means that households with low energy consumption will see less benefit from the price cap reduction. Ofgem's price cap, implemented in January 2019, aims to prevent energy companies from overcharging customers on variable-rate tariffs.</w:t>
      </w:r>
      <w:r/>
    </w:p>
    <w:p>
      <w:r/>
      <w:r>
        <w:t>Analysts from Cornwall Insight predict that the price cap may increase to £1,636.44 in October and slightly more in January 2025. Consequently, fixing energy bills at current lower rates could be beneficial for some households, although current fixed-rate deals are generally more expensive than the price cap rates and often come with early exit fees.</w:t>
      </w:r>
      <w:r/>
    </w:p>
    <w:p>
      <w:pPr>
        <w:pStyle w:val="Heading3"/>
      </w:pPr>
      <w:r>
        <w:t>Growing Interest in Bond Funds Amid Interest Rate Speculations</w:t>
      </w:r>
      <w:r/>
    </w:p>
    <w:p>
      <w:r/>
      <w:r>
        <w:t>Bond funds have gained popularity among UK investors, particularly during this year’s ISA season. March saw a notable increase in bond fund holdings, with wealth managers recommending them for their stability and potential for real returns that outpace inflation.</w:t>
      </w:r>
      <w:r/>
    </w:p>
    <w:p>
      <w:r/>
      <w:r>
        <w:t>Nick Gait, investment director at Tideway Wealth, highlighted that fixed-income funds can offer returns without the volatility of equity markets. Corporate bond funds, in particular, are seen as attractive, with yields around 6% for investment-grade corporate debt. Analysts anticipate that interest rates will decrease soon, enhancing the attractiveness of bond funds.</w:t>
      </w:r>
      <w:r/>
    </w:p>
    <w:p>
      <w:r/>
      <w:r>
        <w:t>Wealth management firms like Evelyn Partners and Quilter are adjusting their asset allocations to include more fixed-income investments. Stephen Snowden from Artemis Investment Management suggests that the bond market could provide substantial yields even if base rates do not fall.</w:t>
      </w:r>
      <w:r/>
    </w:p>
    <w:p>
      <w:r/>
      <w:r>
        <w:t>Navigating the fixed income market remains complex for private investors. The Investment Association’s categorization of available funds helps by creating smaller, more comparable sector groups. However, distinctions between funds based on bond duration and the mix of active versus passive management options can still create confusion. Wealth managers tend to favor active management in this sector due to the potential for more tailored risk management and capital gains.</w:t>
      </w:r>
      <w:r/>
    </w:p>
    <w:p>
      <w:r/>
      <w:r>
        <w:t>Some recommended funds include the Artemis Short Duration Strategic Bond Fund and the TwentyFour Dynamic Bond fund.</w:t>
      </w:r>
      <w:r/>
    </w:p>
    <w:p>
      <w:r/>
      <w:r>
        <w:t>Investors new to bond funds are advised to consider platform-recommended fund lists for guidance, featuring actively managed funds such as Artemis Corporate Bond and Royal London Corporate Bond.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