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Fashion Label Dion Lee Enters Voluntary Administration Amid Investor Split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Australian fashion label Dion Lee has entered voluntary administration after its investor, Cue Clothing Co., ended the partnership. The administration will be handled by Antony Resnick of the insolvency firm dVT Group. The decision comes despite the brand's prominent presence in the industry, having dressed celebrities such as Taylor Swift and Dua Lipa.</w:t>
      </w:r>
      <w:r/>
    </w:p>
    <w:p>
      <w:r/>
      <w:r>
        <w:t>Dion Lee, founded in 2009 by the Sydney-born designer of the same name, has six retail stores in Australia and one in the U.S. The U.S. market is its largest, with the first North American store opening in Miami last year. The label has also been a fixture at New York Fashion Week since 2013.</w:t>
      </w:r>
      <w:r/>
    </w:p>
    <w:p>
      <w:r/>
      <w:r>
        <w:t>The sudden administration follows a trend of financial difficulties among other luxury brands. The CEO of The Volte, Bernadette Olivier, attributes these issues to the rise of fast fashion and new consumer habits, such as "online trying," which result in increased waste and financial strain for high-end labels.</w:t>
      </w:r>
      <w:r/>
    </w:p>
    <w:p>
      <w:r/>
      <w:r>
        <w:t>Operations for Dion Lee's Australian and U.S. stores will continue as normal while administrators assess the company's future and seek new investors.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