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Housing Crisis: Government's Bold Plan to Address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China's Housing Crisis: Bold Government Plan and Its Challenges</w:t>
      </w:r>
      <w:r/>
    </w:p>
    <w:p>
      <w:r/>
      <w:r>
        <w:t>China is grappling with a significant housing problem, with nearly four million unsold apartments and around ten million unfinished units sold but not yet completed. This situation poses a severe threat to one of the world's largest economies. To address the crisis, President Xi Jinping and his administration unveiled a plan asking the government to purchase these empty homes and convert them into social housing.</w:t>
      </w:r>
      <w:r/>
    </w:p>
    <w:p>
      <w:r/>
      <w:r>
        <w:t>This newly announced initiative is the latest effort by Beijing to counteract a housing market slump that has persisted for nearly four years. The problem began when the government, aiming to curb excessive expansion, cut off easy access to money for real estate developers in 2020, leading to a series of bankruptcies and destabilizing the market.</w:t>
      </w:r>
      <w:r/>
    </w:p>
    <w:p>
      <w:r/>
      <w:r>
        <w:t>The crisis has affected many sectors, with trillions of dollars owed to various stakeholders, including builders, banks, and small companies. Prominent real estate firms like China Evergrande have collapsed, shaking confidence among homebuyers and investors alike.</w:t>
      </w:r>
      <w:r/>
    </w:p>
    <w:p>
      <w:r/>
      <w:r>
        <w:t>Vice Premier He Lifeng recently convened an online meeting with local officials to launch the initiative, committing $41.5 billion for loans to state-owned firms for property purchases. Despite these efforts, experts argue that the plan falls short of addressing the issue's full magnitude, which might require between $280 billion to $560 billion.</w:t>
      </w:r>
      <w:r/>
    </w:p>
    <w:p>
      <w:r/>
      <w:r>
        <w:t>Efforts to stabilize the market have so far been insufficient. Policymakers have attempted various measures, including significant mortgage rate cuts and pilot programs for apartment buybacks. However, these strategies have not significantly impacted the overall market performance.</w:t>
      </w:r>
      <w:r/>
    </w:p>
    <w:p>
      <w:r/>
      <w:r>
        <w:t>The key challenge remains whether local governments can purchase all the unsold units and subsequently sell them. Only time will tell if more aggressive measures and additional funding will be necessary to resolve China's housing dilemma.</w:t>
      </w:r>
      <w:r/>
    </w:p>
    <w:p>
      <w:r/>
      <w:r>
        <w:rPr>
          <w:b/>
        </w:rPr>
        <w:t>Starwood Real Estate Fund Limits Withdrawals Amid High Interest Rates</w:t>
      </w:r>
      <w:r/>
    </w:p>
    <w:p>
      <w:r/>
      <w:r>
        <w:t>Starwood Real Estate Income Trust, managed by Barry Sternlicht’s Starwood Capital Group, has announced a reduction in the amount investors can redeem, lowering it from 5 percent to 1 percent of the fund’s asset value per quarter. This decision came as the fund, which manages approximately $10 billion in assets, faces increased withdrawal requests amid high interest rates affecting the commercial property market.</w:t>
      </w:r>
      <w:r/>
    </w:p>
    <w:p>
      <w:r/>
      <w:r>
        <w:t>The move aims to prevent a cash shortfall as selling properties at discounted prices was deemed unfavorable. The tightened restrictions follow a trend observed in other major real estate funds, like Blackstone's BREIT, which had also faced high withdrawal demands but managed to stabilize after securing a significant investment from the University of California's investment arm.</w:t>
      </w:r>
      <w:r/>
    </w:p>
    <w:p>
      <w:r/>
      <w:r>
        <w:t>These measures indicate the broader challenges that real estate investment trusts (REITs) face with rising interest rates and lower property valuations, impacting their cash flow and ability to meet investor redemption requests.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