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Finance Ministers Make Progress on Using Frozen Russian Assets to Aid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Finance ministers from the Group of Seven (G7) nations convened in Stresa, Italy, from May 22 to 25, 2024, to discuss critical economic strategies in response to ongoing global tensions. The officials, including U.S. Treasury Secretary Janet Yellen and Italian Finance Minister Giancarlo Giorgetti, made progress on a U.S. proposal to use frozen Russian assets to aid Ukraine.</w:t>
      </w:r>
      <w:r/>
    </w:p>
    <w:p>
      <w:r/>
      <w:r>
        <w:t>The proposal involves leveraging the $300 billion in Russian central bank assets frozen since the 2022 invasion of Ukraine. Plans include a potential $50 billion loan to Ukraine, funded by the interest profits on these assets. While the U.S. has seized around $5 billion in Russian assets, Europe holds the majority and legal complexities have slowed outright confiscation.</w:t>
      </w:r>
      <w:r/>
    </w:p>
    <w:p>
      <w:r/>
      <w:r>
        <w:t>European finance ministers expressed concerns about the legal and financial risks, including potential Russian retaliation. Meanwhile, China’s economic practices also took a central stage. The G7 nations discussed measures to counteract China's state-backed production of green technology, with the U.S. advocating for increased tariffs, such as a 100% levy on Chinese electric vehicles.</w:t>
      </w:r>
      <w:r/>
    </w:p>
    <w:p>
      <w:r/>
      <w:r>
        <w:t>The final decisions on these matters are anticipated during the G7 summit scheduled for June in Fasano, Italy. Ukraine's Finance Minister Serhiy Marchenko emphasized the urgency of these measures for his country's economic stability, reflecting the broader geopolitical stakes at play.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