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Key Developments in UK Economy and Stock Market Garner Attention in 2024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2024, several key developments in the UK economy and stock market have garnered attention.</w:t>
      </w:r>
    </w:p>
    <w:p>
      <w:r>
        <w:t>The FTSE 100 index, representing the largest companies in the UK's stock market, has risen by 8% this year. This increase is buoyed by modest economic growth predictions, including a 0.7% growth forecast by the International Monetary Fund, and a dip in inflation to 2.3%, nearing the Bank of England's 2% target.</w:t>
      </w:r>
    </w:p>
    <w:p>
      <w:r>
        <w:t>Financial institutions like HSBC suggest that UK equities present a lucrative investment opportunity. For investors, potential ways to capitalize include buying funds tracking the FTSE 100 or FTSE All-Share Index, or investing directly in specific UK companies, which have been highlighted by financial experts.</w:t>
      </w:r>
    </w:p>
    <w:p>
      <w:r>
        <w:t>Here are seven UK companies noted for their potential:</w:t>
      </w:r>
    </w:p>
    <w:p>
      <w:r>
        <w:rPr>
          <w:b/>
        </w:rPr>
        <w:t>Marks &amp; Spencer (M&amp;S)</w:t>
      </w:r>
      <w:r>
        <w:t>: Reported a 58% profit increase to £716 million for the year ending March, with strong financial health bolstered by operational improvements and a renewed dividend.</w:t>
      </w:r>
    </w:p>
    <w:p>
      <w:r>
        <w:rPr>
          <w:b/>
        </w:rPr>
        <w:t>Greggs</w:t>
      </w:r>
      <w:r>
        <w:t>: Known for its robust financials and growth strategy, Greggs' shares have risen by 8% to £28.72, with dividends reaching £1.02 in the last financial year.</w:t>
      </w:r>
    </w:p>
    <w:p>
      <w:r>
        <w:rPr>
          <w:b/>
        </w:rPr>
        <w:t>Rolls-Royce Holdings</w:t>
      </w:r>
      <w:r>
        <w:t>: The aerospace and defense giant's shares have surged by 187% over the past year, driven by a substantial order book and global defense spending.</w:t>
      </w:r>
    </w:p>
    <w:p>
      <w:r>
        <w:rPr>
          <w:b/>
        </w:rPr>
        <w:t>Shell</w:t>
      </w:r>
      <w:r>
        <w:t>: Despite ESG concerns and potential relocation to the US, Shell remains attractive due to its dividend yield of 3.7% and shares priced at £27.72.</w:t>
      </w:r>
    </w:p>
    <w:p>
      <w:r>
        <w:rPr>
          <w:b/>
        </w:rPr>
        <w:t>NatWest</w:t>
      </w:r>
      <w:r>
        <w:t>: Despite the halting of the government's stake sale due to the election, the bank’s shares are considered undervalued with a significant annual dividend yield of 5.5%.</w:t>
      </w:r>
    </w:p>
    <w:p>
      <w:r>
        <w:rPr>
          <w:b/>
        </w:rPr>
        <w:t>AstraZeneca</w:t>
      </w:r>
      <w:r>
        <w:t>: With anticipated annual revenues of £63 billion by 2030 driven by new medications and market expansions, the company's shares are trading at £122.96.</w:t>
      </w:r>
    </w:p>
    <w:p>
      <w:r>
        <w:rPr>
          <w:b/>
        </w:rPr>
        <w:t>Britvic</w:t>
      </w:r>
      <w:r>
        <w:t>: This soft drinks company has seen a 20% rise in shares to £10.05 this year, supported by improved revenue and profit figures, and a robust dividend of 30.8p per share.</w:t>
      </w:r>
    </w:p>
    <w:p>
      <w:r>
        <w:t>These economic and market highlights follow the announcement by Prime Minister Rishi Sunak of a July 4 general election, amid ongoing discussions about the UK's economic conditions, including inflation, interest rates, and public finances.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