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Storms Cause Fatalities and Widespread Damage in Texas and Oklahoma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series of severe storms swept through Texas and Oklahoma late Saturday, resulting in at least two fatalities and significant property damage, confirmed by local authorities. The deaths occurred in rural Cooke County, Texas, near the Oklahoma border. Sheriff Ray Sappington described the challenges faced by emergency responders due to downed power lines and fallen trees.</w:t>
      </w:r>
      <w:r/>
    </w:p>
    <w:p>
      <w:r/>
      <w:r>
        <w:t>In Texas, a tornado was confirmed near Valley View, causing extensive damage. This included overturning tractor-trailers on Interstate 35, damaging homes, motorhomes, power lines, and trees in areas such as Sanger, Pilot Point, Ray Roberts Lake, and Isle du Bois State Park. Injured individuals were transported to hospitals via ground and air ambulances. A shelter was also opened in Sanger.</w:t>
      </w:r>
      <w:r/>
    </w:p>
    <w:p>
      <w:r/>
      <w:r>
        <w:t>In Denton, Texas, emergency personnel responded to a marina for multiple trapped victims. In Claremore, Oklahoma, storm damage caused downed power lines and trees, making roads impassable. Forecasters had issued tornado and severe thunderstorm warnings for both states, with the National Weather Service issuing multiple warnings and protective advisories throughout the night.</w:t>
      </w:r>
      <w:r/>
    </w:p>
    <w:p>
      <w:r/>
      <w:r>
        <w:t>Concurrent with the storm activity, South Texas experienced record-breaking heat, with forecasts predicting a heat index approaching 120 degrees Fahrenheit over the holiday weekend. Several regions also faced Red Flag fire warnings due to dry air and strong winds, posing a high fire risk.</w:t>
      </w:r>
      <w:r/>
    </w:p>
    <w:p>
      <w:r/>
      <w:r>
        <w:t>The storm system, part of a trend of severe weather in the Midwest, was expected to bring further rain and potential delays for events such as the Indianapolis 500, with continued risk extending into Illinois, Indiana, Missouri, Kentucky, North Carolina, and Virginia.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