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Brighton and Hove City councillors to decide on controversial weapons factory planning application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Brighton and Hove City councillors will decide next week on a planning application submitted by weapons manufacturer L3 Harris for their Moulsecoomb factory. The factory, which produces bomb racks for fighter jets, had initially received a temporary five-year extension in 2018 for a structure measuring 15 meters by 15 meters and 7.6 meters high. The application has encountered substantial public opposition, with 602 objections and one comment in support, as well as a petition with 130 signatures. The decision, postponed from March for legal advice, now considers the impact on groups with protected characteristics under the Public Sector Equality Duty. The planning committee will vote on the application after a presentation and debate, with the meeting webcast live on the council's website from 2 pm.</w:t>
      </w:r>
      <w:r/>
    </w:p>
    <w:p>
      <w:r/>
      <w:r>
        <w:t>In Thetford, community groups and charities have received funding from Thetford Town Council through a Participatory Budgeting process worth £25,000. The initiative, introduced as a response to the cost of living crisis, allowed 209 residents to vote. Seven community groups, including Abbey Action Group, Charles Burrell Museum, and Thetford Scouts, received shares of the funding. Councillor Terry Land highlighted the success, attributing the fund to careful financial management leading to a budget underspend. Additional details can be obtained from Thetford Town Council via email.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