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Comparing Economic Activity: Australia vs. U.S.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Australian and U.S. Economic Activity in Focus</w:t>
      </w:r>
      <w:r/>
    </w:p>
    <w:p>
      <w:pPr>
        <w:pStyle w:val="Heading4"/>
      </w:pPr>
      <w:r>
        <w:t>Australian Economy: Sticky Inflation and Spending Trends</w:t>
      </w:r>
      <w:r/>
    </w:p>
    <w:p>
      <w:r/>
      <w:r>
        <w:t>On May 29, 2024, new data revealed that Australia's inflation remains "sticky," holding steady at approximately 3.5% to 3.6% over the past four months. Despite not increasing, inflation still exceeds the Reserve Bank of Australia's (RBA) target of 2% to 3%. Retail spending figures released the same week showed a modest growth of 1.3% annually as of April, indicating that consumer spending is not significantly driving up prices.</w:t>
      </w:r>
      <w:r/>
    </w:p>
    <w:p>
      <w:pPr>
        <w:pStyle w:val="Heading4"/>
      </w:pPr>
      <w:r>
        <w:t>U.S. Economy: Strong Job Market Amid Inflation Concerns</w:t>
      </w:r>
      <w:r/>
    </w:p>
    <w:p>
      <w:r/>
      <w:r>
        <w:t>The U.S. Department of Labor reported on December 2023 that the nation added 216,000 jobs in that month, totaling 2.7 million new jobs for the year. The unemployment rate stood at 3.7%, with wages rising by 4.1%, outpacing an approximate 3% inflation rate. Despite these gains, public sentiment remains negative, with a substantial disconnect between personal financial satisfaction and perceptions of the overall economy. This sentiment has been influenced by the cumulative 21% price increase since the pandemic began.</w:t>
      </w:r>
      <w:r/>
    </w:p>
    <w:p>
      <w:pPr>
        <w:pStyle w:val="Heading3"/>
      </w:pPr>
      <w:r>
        <w:t>Summary</w:t>
      </w:r>
      <w:r/>
    </w:p>
    <w:p>
      <w:r/>
      <w:r>
        <w:t>Both Australia and the U.S. experience notable economic trends. Australia's inflation remains within a narrow range, while U.S. job growth continues robustly amidst lingering inflation concerns. Each country's economic situation reveals broader patterns of consumer behavior and public sentiment.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