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Survey by Insurer Royal London Highlights Economic Impact on Family Planning Choices for UK Young Adults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survey conducted by insurer Royal London has revealed that rises in the cost of living are influencing family planning decisions among the UK's young adults. According to the survey, 22% of individuals aged 18 to 34 have altered their family planning due to economic strains, while 8% from the same age group have postponed having children because of financial constraints.</w:t>
      </w:r>
    </w:p>
    <w:p>
      <w:r>
        <w:t>The survey indicates that economic conditions have worsened, resulting in an average increase of £1,000 per month in expenses for families with young children. Moreover, 18% of parents reported having no reserve funds for unexpected bills or emergencies.</w:t>
      </w:r>
    </w:p>
    <w:p>
      <w:r>
        <w:t>The research follows official figures showing that UK inflation fell to its lowest level in nearly three years in April, with the Consumer Prices Index (CPI) inflation slowing to 2.3%, down from 3.2% in March. Despite this, sharp rises in food, energy, and housing costs have made the cost of living a focal issue in the upcoming General Election.</w:t>
      </w:r>
    </w:p>
    <w:p>
      <w:r>
        <w:t>Sarah Pennells, a consumer finance specialist at Royal London, stated that as living costs continue to rise, people are increasingly making adjustments to their longer-term life plans, including major decisions such as starting a family. Further research by the Resolution Foundation underscores that the cost-of-living crisis has significantly altered household spending patterns, with consumption cut back more sharply than income reductions.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