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 La Rue Discusses Potential Sale of Core Divisions Amid Positive Sector Momentum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De La Rue Engages in Talks Over Sale of Core Divisions</w:t>
      </w:r>
    </w:p>
    <w:p>
      <w:r>
        <w:t>De La Rue, a Basingstoke-based banknote printing company, is currently in discussions regarding the potential sale of its core divisions, following a strategic review. The company has received proposals from various parties interested in either its currency or authentication operations. Clive Whiley, the chairman of De La Rue, stated that these discussions are progressing, and further updates are expected alongside the full-year results in July.</w:t>
      </w:r>
    </w:p>
    <w:p>
      <w:r>
        <w:t>The firm's financial guidance for the year ending in March remains unchanged, with noted positive momentum in both its authentication and currency sectors. The authentication division has secured multi-year contract extensions with two existing government clients for supplying a digital tax stamp product, while the currency division reports progress amid a recovering market for physical currency post-pandemic. Clive Vacher, CEO, highlighted recent renewals and an expanding order book as indicators of the company's ongoing development, which is expected to support its performance into the full fiscal year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