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Donald Trump's Legal Battles in 2024: Significant Financial Implications Looming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Former U.S. President Donald Trump’s legal battles in 2024 have significant financial implications. In January, Trump was ordered to pay $83.3 million to writer E. Jean Carroll for defamation after being found liable for sexually assaulting her in the 1990s. February saw a New York judge ruling Trump and his associates must pay $175 million (reduced from an initial $355 million) for financial fraud. Additionally, Trump was found guilty on 34 felony counts of falsifying business records in a hush money case, with sentencing set for July 11.</w:t>
      </w:r>
    </w:p>
    <w:p>
      <w:r>
        <w:t>Despite Forbes estimating Trump’s net worth at $2.6 billion in September 2023, his liquid assets, calculated at $426 million, may be insufficient to cover these legal penalties without significant financial strain. Some assessments, like Bloomberg's, predict that the penalties could reduce his net worth by around 15%. This complex legal situation poses a substantial risk to Trump’s financial stability and reignites debates about his financial practices and transparency.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