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J.P. Morgan adopts cautious economic outlook amid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J.P. Morgan has adopted a cautious approach regarding its economic outlook, as evidenced by its recent strategic decisions and commentary from management during a conference call following the release of the company’s first-quarter earnings. The financial institution, which has significant influence in the banking sector, has increased its loan loss provisions in anticipation of potential credit losses due to an uncertain economic environment. The call took place on April 11, 2023, and included remarks from key executives including CEO Jamie Dimon and Chief Financial Officer Jeremy Barnum.</w:t>
      </w:r>
      <w:r/>
    </w:p>
    <w:p>
      <w:r/>
      <w:r>
        <w:t>During the conference, it was revealed that while credit performance has remained in line with expectations, the bank has raised its unemployment forecast from 5.5% to 5.8% for the year. This adjustment reflects growing concerns over economic turbulence, which Dimon highlighted as stemming from various factors including geopolitical issues, persistent inflation, and high fiscal deficits. He stated, “The economy is facing considerable turbulence... As always, we hope for the best but prepare the firm for a wide range of scenarios.”</w:t>
      </w:r>
      <w:r/>
    </w:p>
    <w:p>
      <w:r/>
      <w:r>
        <w:t>Despite the cautious tone, J.P. Morgan’s shares experienced a 1% uptick during the intraday trading on the day of the earnings release. The financial figures demonstrated credit costs of $3.3 billion, with net charge-offs at $2.3 billion, and a net reserve build of $973 million. Barnum clarified that the increase in the loan loss allowance does not significantly indicate a deterioration in the actual credit performance of the portfolio, which continues to align with expectations.</w:t>
      </w:r>
      <w:r/>
    </w:p>
    <w:p>
      <w:r/>
      <w:r>
        <w:t>Consumer spending trends during the first quarter have shown signs of slowing down. Credit and debit card spending growth reduced to 7%, down from 8% in the final quarter of the previous year. Commentary from Barnum suggested that consumers appear to be 'front-loading' their spending in anticipation of price rises due to forthcoming tariffs, a situation actively acknowledged by corporate clients who have shown a shift in focus towards adjusting their supply chains in response to these changes.</w:t>
      </w:r>
      <w:r/>
    </w:p>
    <w:p>
      <w:r/>
      <w:r>
        <w:t>Barnum noted, “We’ve done some soundings... on the consumer side... we see there is a certain amount of front-loading of spending ahead of people expecting price increases from tariffs.” He elaborated on how corporate clients are responding to these tariff policies with a more conservative outlook on their investment banking needs, indicating a transition towards more immediate operational adjustments rather than long-term strategic initiatives.</w:t>
      </w:r>
      <w:r/>
    </w:p>
    <w:p>
      <w:r/>
      <w:r>
        <w:t>On the subject of consumer sentiment and credit conditions, Barnum highlighted the diverse behaviour among different income segments. He remarked that while spending patterns among lower-income consumers have shown signs of weakness, there were also noted increases in spending within that same demographic.</w:t>
      </w:r>
      <w:r/>
    </w:p>
    <w:p>
      <w:r/>
      <w:r>
        <w:t>The bank's stance on investment banking reflects its broader concerns about market unpredictability, with Barnum stating that while client engagement remains high, converting existing pipelines into tangible business will necessitate a reduction in uncertainty levels.</w:t>
      </w:r>
      <w:r/>
    </w:p>
    <w:p>
      <w:r/>
      <w:r>
        <w:t>Dimon concluded the call by underlining the precarious nature of the current economic environment, suggesting that the likelihood of a recession stands at about 50%. He remarked, “If the economy gets worse, credit losses will go up, volumes can change, yield curves can change,” emphasising the bank's readiness for various potential economic scenarios.</w:t>
      </w:r>
      <w:r/>
    </w:p>
    <w:p>
      <w:r/>
      <w:r>
        <w:t>Overall, J.P. Morgan’s first-quarter results and management insights underscore a complex landscape characterised by cautious optimism, heightened scrutiny of consumer behaviour, and adaptive strategies to navigate an uncertain economic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https://www.jpmorgan.com/insights/global-research/outlook/mid-year-outlook</w:t>
        </w:r>
      </w:hyperlink>
      <w:r>
        <w:t xml:space="preserve"> - This URL supports J.P. Morgan's cautious economic outlook and adjustments in anticipation of potential economic turbulence by highlighting the company's forecasts and strategic decisions.</w:t>
      </w:r>
      <w:r/>
    </w:p>
    <w:p>
      <w:pPr>
        <w:pStyle w:val="ListNumber"/>
        <w:spacing w:line="240" w:lineRule="auto"/>
        <w:ind w:left="720"/>
      </w:pPr>
      <w:r/>
      <w:hyperlink r:id="rId11">
        <w:r>
          <w:rPr>
            <w:color w:val="0000EE"/>
            <w:u w:val="single"/>
          </w:rPr>
          <w:t>https://www.johnsonfinancialgroup.com/siteassets/documents/wealth/investment-commentary/q1-2023-quarterly-outlook-final.pdf</w:t>
        </w:r>
      </w:hyperlink>
      <w:r>
        <w:t xml:space="preserve"> - This PDF provides context on the economic uncertainty and potential for recession mentioned in the article, discussing economic growth and market conditions relevant to J.P. Morgan's stance.</w:t>
      </w:r>
      <w:r/>
    </w:p>
    <w:p>
      <w:pPr>
        <w:pStyle w:val="ListNumber"/>
        <w:spacing w:line="240" w:lineRule="auto"/>
        <w:ind w:left="720"/>
      </w:pPr>
      <w:r/>
      <w:hyperlink r:id="rId12">
        <w:r>
          <w:rPr>
            <w:color w:val="0000EE"/>
            <w:u w:val="single"/>
          </w:rPr>
          <w:t>https://privatebank.jpmorgan.com/nam/en/insights/latest-and-featured/eotm/outlook/2023</w:t>
        </w:r>
      </w:hyperlink>
      <w:r>
        <w:t xml:space="preserve"> - This URL corroborates J.P. Morgan's views on economic challenges, including inflation pressures and labor market tightness, which are influencing their cautious approach.</w:t>
      </w:r>
      <w:r/>
    </w:p>
    <w:p>
      <w:pPr>
        <w:pStyle w:val="ListNumber"/>
        <w:spacing w:line="240" w:lineRule="auto"/>
        <w:ind w:left="720"/>
      </w:pPr>
      <w:r/>
      <w:hyperlink r:id="rId13">
        <w:r>
          <w:rPr>
            <w:color w:val="0000EE"/>
            <w:u w:val="single"/>
          </w:rPr>
          <w:t>https://www.bloomberg.com/</w:t>
        </w:r>
      </w:hyperlink>
      <w:r>
        <w:t xml:space="preserve"> - Bloomberg is a reputable source for financial news and economic data, which would provide context on the economic trends and market conditions influencing J.P. Morgan's strategic decisions.</w:t>
      </w:r>
      <w:r/>
    </w:p>
    <w:p>
      <w:pPr>
        <w:pStyle w:val="ListNumber"/>
        <w:spacing w:line="240" w:lineRule="auto"/>
        <w:ind w:left="720"/>
      </w:pPr>
      <w:r/>
      <w:hyperlink r:id="rId14">
        <w:r>
          <w:rPr>
            <w:color w:val="0000EE"/>
            <w:u w:val="single"/>
          </w:rPr>
          <w:t>https://www.sec.gov/</w:t>
        </w:r>
      </w:hyperlink>
      <w:r>
        <w:t xml:space="preserve"> - The SEC website offers access to official financial reports and filings of companies like J.P. Morgan, supporting financial data and strategic decisions mentioned in the article.</w:t>
      </w:r>
      <w:r/>
    </w:p>
    <w:p>
      <w:pPr>
        <w:pStyle w:val="ListNumber"/>
        <w:spacing w:line="240" w:lineRule="auto"/>
        <w:ind w:left="720"/>
      </w:pPr>
      <w:r/>
      <w:hyperlink r:id="rId15">
        <w:r>
          <w:rPr>
            <w:color w:val="0000EE"/>
            <w:u w:val="single"/>
          </w:rPr>
          <w:t>https://www.federalreserve.gov/</w:t>
        </w:r>
      </w:hyperlink>
      <w:r>
        <w:t xml:space="preserve"> - This URL provides insights into economic policies, including unemployment forecasts and interest rate adjustments, which impact J.P. Morgan's economic outlook and financial strategies.</w:t>
      </w:r>
      <w:r/>
    </w:p>
    <w:p>
      <w:pPr>
        <w:pStyle w:val="ListNumber"/>
        <w:spacing w:line="240" w:lineRule="auto"/>
        <w:ind w:left="720"/>
      </w:pPr>
      <w:r/>
      <w:hyperlink r:id="rId16">
        <w:r>
          <w:rPr>
            <w:color w:val="0000EE"/>
            <w:u w:val="single"/>
          </w:rPr>
          <w:t>https://news.google.com/rss/articles/CBMiygFBVV95cUxOajFpQzQ1ZERvcjZWWEV2bmJpTS0tNXUxb0JtT3lxLWg5S2p5bGJ4NzRaWHp1UWd3MkxwTU5yUEprOXBYZ3M1Qm1mMDBwSWp5Rmg3Y1ZTQzh5bnBNcXdvenI4WEdyNl8wOG9MN1hqWXJsS3lKLWhzVExua0Y4aGpqQmF2NmVrMDlEMXZFeGY0UjVwUzU4YVFlNTlpUl9mck51cEhMNVBrNFNYSHNzNDdCVEpNOFhaVzlBNkhhQUlhS1ZBSzRfbHRzbE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pmorgan.com/insights/global-research/outlook/mid-year-outlook" TargetMode="External"/><Relationship Id="rId11" Type="http://schemas.openxmlformats.org/officeDocument/2006/relationships/hyperlink" Target="https://www.johnsonfinancialgroup.com/siteassets/documents/wealth/investment-commentary/q1-2023-quarterly-outlook-final.pdf" TargetMode="External"/><Relationship Id="rId12" Type="http://schemas.openxmlformats.org/officeDocument/2006/relationships/hyperlink" Target="https://privatebank.jpmorgan.com/nam/en/insights/latest-and-featured/eotm/outlook/2023" TargetMode="External"/><Relationship Id="rId13" Type="http://schemas.openxmlformats.org/officeDocument/2006/relationships/hyperlink" Target="https://www.bloomberg.com/" TargetMode="External"/><Relationship Id="rId14" Type="http://schemas.openxmlformats.org/officeDocument/2006/relationships/hyperlink" Target="https://www.sec.gov/" TargetMode="External"/><Relationship Id="rId15" Type="http://schemas.openxmlformats.org/officeDocument/2006/relationships/hyperlink" Target="https://www.federalreserve.gov/" TargetMode="External"/><Relationship Id="rId16" Type="http://schemas.openxmlformats.org/officeDocument/2006/relationships/hyperlink" Target="https://news.google.com/rss/articles/CBMiygFBVV95cUxOajFpQzQ1ZERvcjZWWEV2bmJpTS0tNXUxb0JtT3lxLWg5S2p5bGJ4NzRaWHp1UWd3MkxwTU5yUEprOXBYZ3M1Qm1mMDBwSWp5Rmg3Y1ZTQzh5bnBNcXdvenI4WEdyNl8wOG9MN1hqWXJsS3lKLWhzVExua0Y4aGpqQmF2NmVrMDlEMXZFeGY0UjVwUzU4YVFlNTlpUl9mck51cEhMNVBrNFNYSHNzNDdCVEpNOFhaVzlBNkhhQUlhS1ZBSzRfbHRzbE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