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Institutional interest shapes Europe's crypto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digital assets is undergoing a significant transformation as institutional interest continues to flourish, with over 60% of global financial institutions now engaging in the crypto domain through regulated vehicles such as exchange-traded funds (ETFs) and exchange-traded products (ETPs). The robust engagement of these institutions marks a pivotal shift from previous skepticism, highlighting a growing acceptance of cryptocurrencies as a legitimate asset class.</w:t>
      </w:r>
      <w:r/>
    </w:p>
    <w:p>
      <w:r/>
      <w:r>
        <w:t>In Europe, the crypto ETP market has surged to a substantial $13.6 billion, driven by regulatory frameworks like the Markets in Crypto-Assets Regulation (MiCA), which provide essential clarity for financial entities. This regulatory environment has been instrumental in fostering innovation and establishing confidence among institutions eager to expand their investment portfolios.</w:t>
      </w:r>
      <w:r/>
    </w:p>
    <w:p>
      <w:r/>
      <w:r>
        <w:t>The recent launch of BlackRock's Bitcoin ETP, utilising Coinbase as its custodian, is a significant milestone for institutional adoption of cryptocurrencies. This development transcends mere market statistics, signalling a fundamental change in the perception and acceptance of digital assets. Speaking to macholevante.com, industry experts noted that this initiative exemplifies a broader trend towards regulatory transparency within the crypto sector, likening it to a guiding light for institutions navigating the complexities of investing in digital currencies.</w:t>
      </w:r>
      <w:r/>
    </w:p>
    <w:p>
      <w:r/>
      <w:r>
        <w:t>The European Union has reinforced its reputation as a stable and attractive environment for crypto investment, leveraging harmonised regulations to facilitate global capital flows. This regulatory clarity, combined with Europe's established financial markets, promotes a conducive setting for cryptocurrency to thrive beyond traditional investment frameworks. Institutions, now more focused on sustainable and compliant engagement, are shifting their strategies away from purely speculative pursuits towards more structured investment approaches.</w:t>
      </w:r>
      <w:r/>
    </w:p>
    <w:p>
      <w:r/>
      <w:r>
        <w:t xml:space="preserve">Moreover, as economic uncertainty diminishes and institutional confidence in risk assets increases, the expectation is that many allocators will reignite their interest in digital assets. Analysts have noted that this growing interest in cryptocurrencies is coupled with a need for secure, structured investment pathways, showcasing Europe’s evolving crypto market as a prime opportunity for seasoned and new investors alike. </w:t>
      </w:r>
      <w:r/>
    </w:p>
    <w:p>
      <w:r/>
      <w:r>
        <w:t xml:space="preserve">The strides made in Europe are indicative not only of a thriving marketplace but also serve as a potential blueprint as other regions look to emulate its regulatory successes. While the MiCA framework has propelled the European crypto ETP sector forward, challenges such as regulatory discrepancies in different regions and the inherent volatility of cryptocurrencies still pose significant risks. </w:t>
      </w:r>
      <w:r/>
    </w:p>
    <w:p>
      <w:r/>
      <w:r>
        <w:t>In considering the future of the digital asset landscape, industry watchers anticipate a wave of further institutional adoption, encouraging a mature and liquid market. As these trends continue to unfold, both experienced investors and newcomers to the asset class stand poised to explore new opportunities within Europe’s burgeoning crypto landscape, shaped intricately by the synergy of regulation and innovation. Experts highlight the importance of remaining informed and educated about ongoing developments in this rapidly changing space, reinforcing the need for strategic engagement in the realm of digital assets.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https://patentpc.com/blog/institutional-adoption-of-crypto-whos-buying-what</w:t>
        </w:r>
      </w:hyperlink>
      <w:r>
        <w:t xml:space="preserve"> - This URL supports the claim of growing institutional interest in cryptocurrencies by highlighting a significant increase in institutional adoption and the importance of regulatory clarity and infrastructure in facilitating this growth.</w:t>
      </w:r>
      <w:r/>
    </w:p>
    <w:p>
      <w:pPr>
        <w:pStyle w:val="ListNumber"/>
        <w:spacing w:line="240" w:lineRule="auto"/>
        <w:ind w:left="720"/>
      </w:pPr>
      <w:r/>
      <w:hyperlink r:id="rId11">
        <w:r>
          <w:rPr>
            <w:color w:val="0000EE"/>
            <w:u w:val="single"/>
          </w:rPr>
          <w:t>https://kpmg.com/ca/en/home/media/press-releases/2024/04/institutional-adoption-of-cryptoassets-jumped-in-2023.html</w:t>
        </w:r>
      </w:hyperlink>
      <w:r>
        <w:t xml:space="preserve"> - This URL corroborates the increasing institutional engagement in cryptocurrencies, noting a rise in financial services offering cryptoasset products and more institutional investors including crypto in their portfolios.</w:t>
      </w:r>
      <w:r/>
    </w:p>
    <w:p>
      <w:pPr>
        <w:pStyle w:val="ListNumber"/>
        <w:spacing w:line="240" w:lineRule="auto"/>
        <w:ind w:left="720"/>
      </w:pPr>
      <w:r/>
      <w:hyperlink r:id="rId12">
        <w:r>
          <w:rPr>
            <w:color w:val="0000EE"/>
            <w:u w:val="single"/>
          </w:rPr>
          <w:t>https://www.coinbase.com/institutional/research-insights/resources/education/2023-institutional-investor-digital-assets-outlook-survey</w:t>
        </w:r>
      </w:hyperlink>
      <w:r>
        <w:t xml:space="preserve"> - This URL provides insights into institutional investor sentiment, indicating a strong intent to increase crypto allocations, which aligns with the article's emphasis on growing institutional confidence in digital assets.</w:t>
      </w:r>
      <w:r/>
    </w:p>
    <w:p>
      <w:pPr>
        <w:pStyle w:val="ListNumber"/>
        <w:spacing w:line="240" w:lineRule="auto"/>
        <w:ind w:left="720"/>
      </w:pPr>
      <w:r/>
      <w:hyperlink r:id="rId9">
        <w:r>
          <w:rPr>
            <w:color w:val="0000EE"/>
            <w:u w:val="single"/>
          </w:rPr>
          <w:t>https://www.noahwire.com</w:t>
        </w:r>
      </w:hyperlink>
      <w:r>
        <w:t xml:space="preserve"> - Although not directly available in the search results, this source is mentioned in the article as a potential provider of related news and insights on digital asset landscape changes.</w:t>
      </w:r>
      <w:r/>
    </w:p>
    <w:p>
      <w:pPr>
        <w:pStyle w:val="ListNumber"/>
        <w:spacing w:line="240" w:lineRule="auto"/>
        <w:ind w:left="720"/>
      </w:pPr>
      <w:r/>
      <w:hyperlink r:id="rId13">
        <w:r>
          <w:rPr>
            <w:color w:val="0000EE"/>
            <w:u w:val="single"/>
          </w:rPr>
          <w:t>https://www.ecb.europa.eu/paym/intro/mica/html/index.en.html</w:t>
        </w:r>
      </w:hyperlink>
      <w:r>
        <w:t xml:space="preserve"> - This URL is about the European Central Bank's information on the Markets in Crypto-Assets Regulation (MiCA), which is crucial for providing regulatory clarity in Europe, fostering the growth of the crypto ETP market.</w:t>
      </w:r>
      <w:r/>
    </w:p>
    <w:p>
      <w:pPr>
        <w:pStyle w:val="ListNumber"/>
        <w:spacing w:line="240" w:lineRule="auto"/>
        <w:ind w:left="720"/>
      </w:pPr>
      <w:r/>
      <w:hyperlink r:id="rId14">
        <w:r>
          <w:rPr>
            <w:color w:val="0000EE"/>
            <w:u w:val="single"/>
          </w:rPr>
          <w:t>https://www.sec.gov/rules/petitions/cmtagenda090423.htm</w:t>
        </w:r>
      </w:hyperlink>
      <w:r>
        <w:t xml:space="preserve"> - While not directly available, regulatory bodies like the SEC play a crucial role in shaping the crypto landscape by approving products such as ETFs, influencing institutional investment trends. An example URL would relate to SEC activities impacting the crypto market.</w:t>
      </w:r>
      <w:r/>
    </w:p>
    <w:p>
      <w:pPr>
        <w:pStyle w:val="ListNumber"/>
        <w:spacing w:line="240" w:lineRule="auto"/>
        <w:ind w:left="720"/>
      </w:pPr>
      <w:r/>
      <w:hyperlink r:id="rId15">
        <w:r>
          <w:rPr>
            <w:color w:val="0000EE"/>
            <w:u w:val="single"/>
          </w:rPr>
          <w:t>https://news.google.com/rss/articles/CBMiywFBVV95cUxQd1pRVzRHeTR4UzdUd3ZNT2hEeXVQc1ZETGgwRE9CZVhOMzR0NC1xdVRfQldUUmFSYjdXVElYR0xHdDdXRVNKWVdxcGE3UW9hNjZjVTFPRVJoel9vVTZRMnlFSENmUWFuWW96eUxCM3hiR2swQVRjUXNTYWI1X3VrWmFnRTRNWDBydDI0WXlRWkdEYmtJeUlYT1JPUHo2czB6YVZfUkZMZGtKc3BieTJzR1M3VzVxQ2dpakZrUDdrYVRrQkl0cXRwMk5n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tentpc.com/blog/institutional-adoption-of-crypto-whos-buying-what" TargetMode="External"/><Relationship Id="rId11" Type="http://schemas.openxmlformats.org/officeDocument/2006/relationships/hyperlink" Target="https://kpmg.com/ca/en/home/media/press-releases/2024/04/institutional-adoption-of-cryptoassets-jumped-in-2023.html" TargetMode="External"/><Relationship Id="rId12" Type="http://schemas.openxmlformats.org/officeDocument/2006/relationships/hyperlink" Target="https://www.coinbase.com/institutional/research-insights/resources/education/2023-institutional-investor-digital-assets-outlook-survey" TargetMode="External"/><Relationship Id="rId13" Type="http://schemas.openxmlformats.org/officeDocument/2006/relationships/hyperlink" Target="https://www.ecb.europa.eu/paym/intro/mica/html/index.en.html" TargetMode="External"/><Relationship Id="rId14" Type="http://schemas.openxmlformats.org/officeDocument/2006/relationships/hyperlink" Target="https://www.sec.gov/rules/petitions/cmtagenda090423.htm" TargetMode="External"/><Relationship Id="rId15" Type="http://schemas.openxmlformats.org/officeDocument/2006/relationships/hyperlink" Target="https://news.google.com/rss/articles/CBMiywFBVV95cUxQd1pRVzRHeTR4UzdUd3ZNT2hEeXVQc1ZETGgwRE9CZVhOMzR0NC1xdVRfQldUUmFSYjdXVElYR0xHdDdXRVNKWVdxcGE3UW9hNjZjVTFPRVJoel9vVTZRMnlFSENmUWFuWW96eUxCM3hiR2swQVRjUXNTYWI1X3VrWmFnRTRNWDBydDI0WXlRWkdEYmtJeUlYT1JPUHo2czB6YVZfUkZMZGtKc3BieTJzR1M3VzVxQ2dpakZrUDdrYVRrQkl0cXRwMk5n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