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IDFC First Bank secures ₹7,500 crore investment from Warburg Pincus and ADIA to fuel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development within India’s private banking sector, IDFC First Bank has secured a substantial ₹7,500 crore investment from private equity firm Warburg Pincus and the Abu Dhabi Investment Authority (ADIA). This infusion marks one of the largest private equity investments in an Indian private bank and underscores the evolving investor confidence in the bank’s trajectory.</w:t>
      </w:r>
    </w:p>
    <w:p>
      <w:r>
        <w:t>The bank’s managing director and chief executive officer, V. Vaidyanathan, recounted how this new investment is reminiscent of their initial partnership years ago when Warburg Pincus first backed him as a rookie entrepreneur. At that time, Vaidyanathan’s enterprise, then known as Capital First, was navigating challenges including real estate-related bad loans and ongoing losses in certain verticals. During an early meeting on a flight, he delivered a compelling “napkin pitch” outlining a vision for a differentiated, retail-led lending business powered by technology, risk intelligence, and strong governance. Seeking additional validation, Warburg Pincus consulted respected industry leaders including Deepak Parekh of HDFC, K. V. Kamath, and Kalpana Morparia, all of whom offered endorsements. This led Warburg to invest at a significant premium over market price, which proved highly profitable as the company grew robustly, merged with IDFC Bank in 2018, and eventually became IDFC First Bank.</w:t>
      </w:r>
    </w:p>
    <w:p>
      <w:r>
        <w:t>However, the journey was not without setbacks. Following the merger, the bank experienced six straight quarters of losses, a record for any private Indian bank, driven in part by challenges in the microfinance segment and legacy exposures. The bank’s net profit rose from a substantial loss of ₹1,944 crore in fiscal year 2019 to a profit of ₹2,957 crore in FY24, though profits declined by 44% in the first nine months of FY25 due to continuing microfinance losses.</w:t>
      </w:r>
    </w:p>
    <w:p>
      <w:r>
        <w:t>Against this background, Vaidyanathan took a direct approach to capital raising—eschewing investment bankers and fees—once again reaching out to Warburg Pincus and other potential investors. The renewed pitch was met with careful scrutiny. Warburg conducted exhaustive due diligence, assessing unit economics, franchise strength, risk metrics, technology infrastructure, regulatory stance, and long-term return on equity (ROE) prospects. The bank also underwent an independent survey evaluating customer experience, which reportedly yielded exceptionally positive results.</w:t>
      </w:r>
    </w:p>
    <w:p>
      <w:r>
        <w:t>Warburg responded by committing ₹4,876 crore for a 9.5% stake, while ADIA took a significant portion of the remainder, collectively providing the bank with a stronger capital base to support future growth. Vaidyanathan remarked, “They asked us unit economics, franchise strength, risk metrics, tech stack, regulatory view, long-term ROE path. Another potential investor even commissioned an outside-in survey to assess customer experience. When the results came in, they told us it was simply off the charts.”</w:t>
      </w:r>
    </w:p>
    <w:p>
      <w:r>
        <w:t>The bank’s asset quality has remained strong over the years, maintaining gross non-performing assets (GNPA) of approximately 2% and net non-performing assets (NNPA) near 1% for 14 consecutive years, even as its loan book expanded from ₹94 crore in 2010 to ₹1.97 lakh crore.</w:t>
      </w:r>
    </w:p>
    <w:p>
      <w:r>
        <w:t>Responding to queries about frequent capital raising, Vaidyanathan explained that the bank’s roots as an infrastructure development finance institution and low net interest margins (NIMs) have necessitated ongoing capital augmentation to fuel growth. He compared the process to the capital raises undertaken by ICICI Bank in the early 2000s, noting that such measures are integral to building strong financial institutions. The bank’s financial metrics have substantially improved, with return on equity (ROE) increasing from zero to 7% over six years, and pre-provision operating profit (PPOP) growing from ₹749 crore in FY19 to over ₹6,000 crore in FY24. The current fundraise is expected to bolster the bank’s capital adequacy ratio, elevating it from 16.1% to 18.9%, and supporting a targeted ROE of 15% for future sustainability.</w:t>
      </w:r>
    </w:p>
    <w:p>
      <w:r>
        <w:t>Reflecting on the renewed partnership with Warburg, Vaidyanathan expressed appreciation for the faith shown despite the challenges faced, stating, “We had to go deep... Everything had to be answered. We told them just look through the MFI [microfinance] issue as a one-year thing and that our PAT growth journey will resume strongly. Our tech and customer experience was a big clincher.”</w:t>
      </w:r>
    </w:p>
    <w:p>
      <w:r>
        <w:t>This latest strategic funding round not only reinforces Warburg Pincus’s longstanding relationship with IDFC First Bank and its leadership but also highlights the evolving dynamics of private equity participation in India’s banking sector, focusing on technology-driven retail growth and risk management. The bank’s ability to attract informed long-term investors reflects its transformation into a scalable, stable institution within an increasingly competitive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https://warburgpincus.com/2025/04/17/currant-sea-investments-b-v-an-affiliate-company-of-warburg-pincus-llc-and-platinum-invictus-b-2025-rsc-limited-a-wholly-owned-subsidiary-of-adia-to-invest-a-combined-total-of-rs-7500-crore-in/</w:t>
        </w:r>
      </w:hyperlink>
      <w:r>
        <w:t xml:space="preserve"> - Confirms the ₹7,500 crore investment by Warburg Pincus and ADIA into IDFC First Bank as one of the largest private equity investments in the bank, supporting the article's claim about the scale and significance of the funding.</w:t>
      </w:r>
    </w:p>
    <w:p>
      <w:pPr>
        <w:pStyle w:val="ListBullet"/>
      </w:pPr>
      <w:hyperlink r:id="rId12">
        <w:r>
          <w:rPr>
            <w:u w:val="single"/>
            <w:color w:val="0000FF"/>
            <w:rStyle w:val="Hyperlink"/>
          </w:rPr>
          <w:t>https://economictimes.com/markets/stocks/news/idfc-first-to-raise-rs-7500-cr-in-equity-capital/articleshow/120398373.cms</w:t>
        </w:r>
      </w:hyperlink>
      <w:r>
        <w:t xml:space="preserve"> - Details the breakdown of the ₹7,500 crore capital raise, with Warburg Pincus investing ₹4,876 crore for a 9.5% stake and ADIA taking the remainder; also mentions the bank's growth story and CEO V. Vaidyanathan's remarks on the business model and operational improvements.</w:t>
      </w:r>
    </w:p>
    <w:p>
      <w:pPr>
        <w:pStyle w:val="ListBullet"/>
      </w:pPr>
      <w:hyperlink r:id="rId13">
        <w:r>
          <w:rPr>
            <w:u w:val="single"/>
            <w:color w:val="0000FF"/>
            <w:rStyle w:val="Hyperlink"/>
          </w:rPr>
          <w:t>https://m.rediff.com/news/commentary/2025/apr/18/idfc-first-bank-gets-rs-7.5k-cr-investment/ff570f9c2ba4f53a55b301891dca2bb7</w:t>
        </w:r>
      </w:hyperlink>
      <w:r>
        <w:t xml:space="preserve"> - Supports the article's narrative on the investment details, capital raise structure, Warburg Pincus's prior relationship, and references the size of the fundraise compared to other private banks in India.</w:t>
      </w:r>
    </w:p>
    <w:p>
      <w:pPr>
        <w:pStyle w:val="ListBullet"/>
      </w:pPr>
      <w:hyperlink r:id="rId14">
        <w:r>
          <w:rPr>
            <w:u w:val="single"/>
            <w:color w:val="0000FF"/>
            <w:rStyle w:val="Hyperlink"/>
          </w:rPr>
          <w:t>https://www.business-standard.com/content/press-releases-ani/idfc-first-bank-s-board-approves-fundraising-of-rs-7-500-crore-from-warburg-pincus-and-abu-dhabi-investment-authority-125041700988_1.html</w:t>
        </w:r>
      </w:hyperlink>
      <w:r>
        <w:t xml:space="preserve"> - Confirms the board approval for the ₹7,500 crore fundraising from Warburg Pincus and ADIA, reinforcing the procedural legitimacy of the transaction.</w:t>
      </w:r>
    </w:p>
    <w:p>
      <w:pPr>
        <w:pStyle w:val="ListBullet"/>
      </w:pPr>
      <w:hyperlink r:id="rId15">
        <w:r>
          <w:rPr>
            <w:u w:val="single"/>
            <w:color w:val="0000FF"/>
            <w:rStyle w:val="Hyperlink"/>
          </w:rPr>
          <w:t>https://www.icicidirect.com/research/equity/trending-news/warburg-pincus-and-adia-will-invest-7500-crore-in-idfc-first-bank</w:t>
        </w:r>
      </w:hyperlink>
      <w:r>
        <w:t xml:space="preserve"> - Provides insights into the financial impact of the investment, including the increase in capital adequacy ratios and expected return on equity improvements, supporting claims about improved financial metrics post-capital raise.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arburgpincus.com/2025/04/17/currant-sea-investments-b-v-an-affiliate-company-of-warburg-pincus-llc-and-platinum-invictus-b-2025-rsc-limited-a-wholly-owned-subsidiary-of-adia-to-invest-a-combined-total-of-rs-7500-crore-in/" TargetMode="External"/><Relationship Id="rId12" Type="http://schemas.openxmlformats.org/officeDocument/2006/relationships/hyperlink" Target="https://economictimes.com/markets/stocks/news/idfc-first-to-raise-rs-7500-cr-in-equity-capital/articleshow/120398373.cms" TargetMode="External"/><Relationship Id="rId13" Type="http://schemas.openxmlformats.org/officeDocument/2006/relationships/hyperlink" Target="https://m.rediff.com/news/commentary/2025/apr/18/idfc-first-bank-gets-rs-7.5k-cr-investment/ff570f9c2ba4f53a55b301891dca2bb7" TargetMode="External"/><Relationship Id="rId14" Type="http://schemas.openxmlformats.org/officeDocument/2006/relationships/hyperlink" Target="https://www.business-standard.com/content/press-releases-ani/idfc-first-bank-s-board-approves-fundraising-of-rs-7-500-crore-from-warburg-pincus-and-abu-dhabi-investment-authority-125041700988_1.html" TargetMode="External"/><Relationship Id="rId15" Type="http://schemas.openxmlformats.org/officeDocument/2006/relationships/hyperlink" Target="https://www.icicidirect.com/research/equity/trending-news/warburg-pincus-and-adia-will-invest-7500-crore-in-idfc-first-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