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Addressing the UK tech investment gap to unlock diverse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Despite its reputation as a leading global technology hub, the UK’s tech sector continues to grapple with significant challenges in achieving equitable access to investment capital. Underrepresented entrepreneurs—including women, ethnic minorities, LGBTQ+ founders, and individuals from non-traditional backgrounds—face distinct disadvantages when seeking the funding essential for launching and scaling innovative technology businesses.</w:t>
      </w:r>
      <w:r/>
    </w:p>
    <w:p>
      <w:r/>
      <w:r>
        <w:t>Data from the British Business Bank highlights the stark disparities. In 2023, all-female founding teams received only 2% of venture capital (VC) funding in the UK, while mixed-gender teams secured 12%, leaving the overwhelming majority of investment to all-male teams. These imbalances persist in emerging fields such as artificial intelligence (AI), where research by the Alan Turing Institute found that female-founded AI startups accounted for a mere 2.1% of UK VC deals between 2012 and 2022, receiving just 0.3% of total investment during that period.</w:t>
      </w:r>
      <w:r/>
    </w:p>
    <w:p>
      <w:r/>
      <w:r>
        <w:t>Moreover, the Social Mobility Commission reports that individuals from working-class backgrounds constitute only 19% of tech sector professionals, despite representing nearly 40% of the UK’s overall working population. This underrepresentation suggests a widening gap that limits the diversity of perspectives and solutions within the sector.</w:t>
      </w:r>
      <w:r/>
    </w:p>
    <w:p>
      <w:r/>
      <w:r>
        <w:t>The roots of these inequities are often structural and systemic. The UK’s technology and investment ecosystems, much like Silicon Valley, remain deeply network-based and exhibit risk-averse tendencies when evaluating “non-traditional” founders. Investment decisions frequently favour entrepreneurs who fit familiar profiles—typically white, male, and Oxbridge-educated—thus reinforcing existing patterns and creating what experts describe as a “double bind.” Underrepresented founders struggle to secure capital, and their lack of funding becomes perceived as a lack of potential, hindering future opportunities.</w:t>
      </w:r>
      <w:r/>
    </w:p>
    <w:p>
      <w:r/>
      <w:r>
        <w:t>Three key systemic barriers underpin this dynamic:</w:t>
      </w:r>
      <w:r/>
      <w:r/>
    </w:p>
    <w:p>
      <w:pPr>
        <w:pStyle w:val="ListNumber"/>
        <w:numPr>
          <w:ilvl w:val="0"/>
          <w:numId w:val="14"/>
        </w:numPr>
        <w:spacing w:line="240" w:lineRule="auto"/>
        <w:ind w:left="720"/>
      </w:pPr>
      <w:r/>
      <w:r>
        <w:rPr>
          <w:b/>
        </w:rPr>
        <w:t>Access to Networks:</w:t>
      </w:r>
      <w:r>
        <w:t xml:space="preserve"> Early-stage fundraising relies heavily on warm introductions. Entrepreneurs outside established networks often lack opportunities to pitch to investors.</w:t>
      </w:r>
      <w:r/>
    </w:p>
    <w:p>
      <w:pPr>
        <w:pStyle w:val="ListNumber"/>
        <w:spacing w:line="240" w:lineRule="auto"/>
        <w:ind w:left="720"/>
      </w:pPr>
      <w:r/>
      <w:r>
        <w:rPr>
          <w:b/>
        </w:rPr>
        <w:t>Bias in Risk Perception:</w:t>
      </w:r>
      <w:r>
        <w:t xml:space="preserve"> Founders not fitting the conventional mould are deemed riskier investments, despite evidence that diverse teams often outperform in various financial and operational metrics.</w:t>
      </w:r>
      <w:r/>
    </w:p>
    <w:p>
      <w:pPr>
        <w:pStyle w:val="ListNumber"/>
        <w:spacing w:line="240" w:lineRule="auto"/>
        <w:ind w:left="720"/>
      </w:pPr>
      <w:r/>
      <w:r>
        <w:rPr>
          <w:b/>
        </w:rPr>
        <w:t>Structural Support Gaps:</w:t>
      </w:r>
      <w:r>
        <w:t xml:space="preserve"> Accelerator programmes, incubators, and grants frequently do not reach non-traditional communities early enough to cultivate meaningful change.</w:t>
      </w:r>
      <w:r/>
      <w:r/>
    </w:p>
    <w:p>
      <w:r/>
      <w:r>
        <w:t>Ironically, technology offers both part of the problem and the potential solution. Emerging data-driven venture capital platforms use machine learning algorithms to identify promising founders based on objective fundamentals rather than personal networks. Alternative financing routes, such as decentralised finance (DeFi) and crowdfunding, are bypassing traditional gatekeepers, opening new avenues for investment. Furthermore, corporate innovation funds are increasingly embedding environmental, social, and governance (ESG) criteria alongside diversity, equality, and inclusion (DEI) principles into their portfolios, incentivising broader inclusion.</w:t>
      </w:r>
      <w:r/>
    </w:p>
    <w:p>
      <w:r/>
      <w:r>
        <w:t>However, caution is warranted. If AI and other algorithmic decision-making tools are trained on historical investment data marked by bias, there is a risk of perpetuating and amplifying existing inequalities within automated systems. Careful and intentional design is necessary to avoid encoding today’s disparities into future technology-driven investment decisions.</w:t>
      </w:r>
      <w:r/>
    </w:p>
    <w:p>
      <w:r/>
      <w:r>
        <w:t>The significance of addressing this investment gap extends beyond social equity—it is vital for the success and resilience of the UK’s tech industry. According to a senior technology and operational leader who has held roles across global banks and fintech scale-ups and now advises boards and startups internationally, technology “doesn’t just benefit from diverse talent – it requires it.” Diverse founders bring unique market insights, a nuanced understanding of underserved customer segments, and a resilience developed through navigating structural challenges. These qualities are crucial for developing scalable, responsible, and secure technology solutions in a rapidly evolving landscape.</w:t>
      </w:r>
      <w:r/>
    </w:p>
    <w:p>
      <w:r/>
      <w:r>
        <w:t>To promote more equitable investment and foster a more inclusive tech ecosystem, coordinated and deliberate action is essential. Five key recommendations have been proposed:</w:t>
      </w:r>
      <w:r/>
      <w:r/>
    </w:p>
    <w:p>
      <w:pPr>
        <w:pStyle w:val="ListBullet"/>
        <w:spacing w:line="240" w:lineRule="auto"/>
        <w:ind w:left="720"/>
      </w:pPr>
      <w:r/>
      <w:r>
        <w:t>Rebuild the Discovery Process: Utilise AI tools to identify strong founding teams beyond traditional geographic and social clusters. Standardise pitch evaluation criteria to focus on business traction and potential rather than founders’ pedigrees.</w:t>
      </w:r>
      <w:r/>
    </w:p>
    <w:p>
      <w:pPr>
        <w:pStyle w:val="ListBullet"/>
        <w:spacing w:line="240" w:lineRule="auto"/>
        <w:ind w:left="720"/>
      </w:pPr>
      <w:r/>
      <w:r>
        <w:t>Diversify Investment Committees: Foster diverse decision-making bodies to broaden deal flow and improve investment outcomes. Regularly assess the composition of investment panels to identify and remedy a lack of representation.</w:t>
      </w:r>
      <w:r/>
    </w:p>
    <w:p>
      <w:pPr>
        <w:pStyle w:val="ListBullet"/>
        <w:spacing w:line="240" w:lineRule="auto"/>
        <w:ind w:left="720"/>
      </w:pPr>
      <w:r/>
      <w:r>
        <w:t>Support Beyond Seed Stage: Underrepresented founders often secure initial micro-funding but face challenges moving into Series A and later stages. Investors should develop follow-on funding strategies to enable sustainable business growth.</w:t>
      </w:r>
      <w:r/>
    </w:p>
    <w:p>
      <w:pPr>
        <w:pStyle w:val="ListBullet"/>
        <w:spacing w:line="240" w:lineRule="auto"/>
        <w:ind w:left="720"/>
      </w:pPr>
      <w:r/>
      <w:r>
        <w:t>Enterprise Buyers as Catalysts: Large technology companies can influence ecosystems by diversifying their procurement and vendor contracts. Chief Information Officers (CIOs) and Chief Technology Officers (CTOs) are encouraged to evaluate and enhance the diversity of their supplier ecosystems.</w:t>
      </w:r>
      <w:r/>
    </w:p>
    <w:p>
      <w:pPr>
        <w:pStyle w:val="ListBullet"/>
        <w:spacing w:line="240" w:lineRule="auto"/>
        <w:ind w:left="720"/>
      </w:pPr>
      <w:r/>
      <w:r>
        <w:t>Measure, Report, and Act: Track funding flows and establish transparent diversity metrics. Setting tangible goals and publicly reporting progress are critical steps toward accountability and sustained change.</w:t>
      </w:r>
      <w:r/>
      <w:r/>
    </w:p>
    <w:p>
      <w:r/>
      <w:r>
        <w:t>Closing the investment gap is poised to not only unlock underutilised talent but also to enrich the UK’s technological innovation capacity, positioning the sector for greater adaptability and success in the future.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