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Dragon Fortune: navigating opaque wealth at the crossroads of Kazakhstan and Singapore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heart of Singapore’s prestigious business district, Raffles Place, a largely unknown entity named Dragon Fortune Pte Ltd operates quietly yet wields significant financial clout. Incorporated in January 2013, Dragon Fortune appears on paper as a typical holding company without a public-facing profile: it has no website, does not market products or services, and lacks a conventional business presence. Despite this low profile, the company demonstrates substantial capital strength, with a paid-up capital of $172.6 million, ownership of subsidiaries, and a notable 25% stake in the Kaplankaya luxury resort project on Turkey’s Aegean coast.</w:t>
      </w:r>
      <w:r/>
    </w:p>
    <w:p>
      <w:r/>
      <w:r>
        <w:t>Dragon Fortune is closely tied to the family of Kazakh oligarch Dinmukhamet Idrisov, a business magnate who rose to prominence during Kazakhstan’s 1990s privatisation wave. Born in 1964 in southern Kazakhstan, Idrisov's business empire, Ordabasy, expanded from a regional industrial supplier to a diversified conglomerate entailing utilities, oil, and insurance sectors. His ascent was also facilitated by political connections to influential figures such as Timur Kulibayev, son-in-law of former Kazakh President Nursultan Nazarbayev, and Kairat Satybaldy, a now-incarcerated billionaire and ex-security official related to Nazarbayev.</w:t>
      </w:r>
      <w:r/>
    </w:p>
    <w:p>
      <w:r/>
      <w:r>
        <w:t>Idrisov’s path from provincial businessman to international asset holder contrasts sharply with Dragon Fortune’s sophisticated offshore structure based in Singapore. Initially solely owned by Idrisov, Dragon Fortune’s shares were transferred in 2018 to his son, Zharmukhamed Appaz, who was then 24 years old. This transfer preceded significant political change in Kazakhstan, including Nazarbayev’s resignation and a reshuffling of power dynamics among the elite.</w:t>
      </w:r>
      <w:r/>
    </w:p>
    <w:p>
      <w:r/>
      <w:r>
        <w:t>Despite Dragon Fortune’s substantial declared capital and subsidiary companies—Dragon Fortune Management, Dragon Fortune Logistics, Dragon Fortune Digital, and Kaplankaya Holdings Pte Ltd—operating from prime Singaporean locations, tangible business activities remain obscure. A compliance consultant familiar with the company’s filings described it metaphorically as “a watch with no hands,” indicating the presence of structure and funds but a lack of evident operational purpose.</w:t>
      </w:r>
      <w:r/>
    </w:p>
    <w:p>
      <w:r/>
      <w:r>
        <w:t>The company’s most tangible investment is its involvement in the Kaplankaya resort development near Bodrum, Turkey. Marketed as a posh destination akin to St. Tropez and featuring branded villas alongside a Six Senses hotel, the project planned to attract European elites. Dragon Fortune holds a minority stake in the project’s holding company, with the remainder owned by ASYL Holdings LLC, a U.S.-registered entity with limited public exposure. However, reports from Turkish business journalists and local stakeholders reveal the project has struggled financially and operationally. Capital inflows have been irregular or delayed, construction has stalled, some villas are unsold or mothballed, and the actual ownership structure presents ambiguities. Local authorities report difficulties in contacting foreign investors like Dragon Fortune for inquiries.</w:t>
      </w:r>
      <w:r/>
    </w:p>
    <w:p>
      <w:r/>
      <w:r>
        <w:t>Within Kazakhstan, Dragon Fortune has also been the recipient of a USD 5.1 million loan in 2018 from Kazakhstan Utility Systems, a public service provider owned by Idrisov’s Ordabasy Group. While the loan was initially set to mature within the same year, extensions pushed its due date to 2022, and there is no clear evidence indicating repayment. The low 2% interest rate and the nature of this intra-group transaction from a regulated utility to an unregulated offshore company have triggered concern among financial experts, with some viewing the arrangement as a conduit for moving funds rather than a conventional loan.</w:t>
      </w:r>
      <w:r/>
    </w:p>
    <w:p>
      <w:r/>
      <w:r>
        <w:t>Supporting Dragon Fortune’s Singapore operations is Shingis Madakhmetov, a former executive of KazMunayGas, Kazakhstan’s state energy firm. He occupies director roles in multiple Dragon Fortune entities and is described on LinkedIn as a specialist in cross-border investment and wealth structuring. However, former colleagues characterise him less as an investor and more as a “handler” or “manager,” implying a role in overseeing rather than owning the assets.</w:t>
      </w:r>
      <w:r/>
    </w:p>
    <w:p>
      <w:r/>
      <w:r>
        <w:t>The complex ownership and opaque functions of Dragon Fortune have attracted scrutiny amid Kazakhstan’s evolving legal environment. The country’s 2022 Law on the Return of Illegally Withdrawn Assets requires citizens holding foreign assets worth over USD 1 million to disclose them, with penalties including asset confiscation for non-compliance. Dragon Fortune’s status in this context remains uncertain, with potential implications from Kazakhstan’s Asset Return Commission, which now wields expanded authority.</w:t>
      </w:r>
      <w:r/>
    </w:p>
    <w:p>
      <w:r/>
      <w:r>
        <w:t>Despite these unresolved questions, Dragon Fortune continues to operate legitimately within Singapore’s regulatory framework. Its registered offices at One Raffles Place remain occupied, and directors formally listed. The company’s activities, characterised by asset ownership and capital placement rather than conventional commercial enterprise, present a complex picture that regulatory authorities in Singapore, Turkey, and Kazakhstan are increasingly examining.</w:t>
      </w:r>
      <w:r/>
    </w:p>
    <w:p>
      <w:r/>
      <w:r>
        <w:t>This multifaceted case illustrates the intersection of global finance, corporate structure, and political connections, with Dragon Fortune positioned at the nexus of these dynamics. Whether viewed as a legitimate investment vehicle or a vehicle for moving and safeguarding wealth across borders, the company remains a subject of interest among regulators and financial analysts in all three jurisdictions.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https://www.sgpbusiness.com/company/Dragon-Fortune-Pte-Ltd</w:t>
        </w:r>
      </w:hyperlink>
      <w:r>
        <w:t xml:space="preserve"> - Confirms Dragon Fortune Pte Ltd's incorporation date (January 2013) and status as a Singapore-based company.</w:t>
      </w:r>
      <w:r/>
    </w:p>
    <w:p>
      <w:pPr>
        <w:pStyle w:val="ListNumber"/>
        <w:spacing w:line="240" w:lineRule="auto"/>
        <w:ind w:left="720"/>
      </w:pPr>
      <w:r/>
      <w:hyperlink r:id="rId11">
        <w:r>
          <w:rPr>
            <w:color w:val="0000EE"/>
            <w:u w:val="single"/>
          </w:rPr>
          <w:t>https://sgpgrid.com/company-details/dragon-fortune-management-pte-ltd</w:t>
        </w:r>
      </w:hyperlink>
      <w:r>
        <w:t xml:space="preserve"> - Corroborates the existence of Dragon Fortune Management Pte Ltd as a related Singapore entity and its registration details.</w:t>
      </w:r>
      <w:r/>
    </w:p>
    <w:p>
      <w:pPr>
        <w:pStyle w:val="ListNumber"/>
        <w:spacing w:line="240" w:lineRule="auto"/>
        <w:ind w:left="720"/>
      </w:pPr>
      <w:r/>
      <w:hyperlink r:id="rId12">
        <w:r>
          <w:rPr>
            <w:color w:val="0000EE"/>
            <w:u w:val="single"/>
          </w:rPr>
          <w:t>https://www.dnb.com/business-directory/company-profiles.dragon_fortune_pte_ltd.4f669c0feaf495a35785ea4232258b53.html</w:t>
        </w:r>
      </w:hyperlink>
      <w:r>
        <w:t xml:space="preserve"> - Establishes Dragon Fortune Pte Ltd's operational status and Singapore registration, though financial specifics remain undisclosed.</w:t>
      </w:r>
      <w:r/>
    </w:p>
    <w:p>
      <w:pPr>
        <w:pStyle w:val="ListNumber"/>
        <w:spacing w:line="240" w:lineRule="auto"/>
        <w:ind w:left="720"/>
      </w:pPr>
      <w:r/>
      <w:hyperlink r:id="rId13">
        <w:r>
          <w:rPr>
            <w:color w:val="0000EE"/>
            <w:u w:val="single"/>
          </w:rPr>
          <w:t>https://recordowl.com/company/dragon-fortune-pte-ltd</w:t>
        </w:r>
      </w:hyperlink>
      <w:r>
        <w:t xml:space="preserve"> - Provides the company's registered address (Manulife Tower) and confirms its active operational status in Singapore.</w:t>
      </w:r>
      <w:r/>
    </w:p>
    <w:p>
      <w:pPr>
        <w:pStyle w:val="ListNumber"/>
        <w:spacing w:line="240" w:lineRule="auto"/>
        <w:ind w:left="720"/>
      </w:pPr>
      <w:r/>
      <w:hyperlink r:id="rId14">
        <w:r>
          <w:rPr>
            <w:color w:val="0000EE"/>
            <w:u w:val="single"/>
          </w:rPr>
          <w:t>https://sgpgrid.com/company-details/dragon-fortune-pte-ltd</w:t>
        </w:r>
      </w:hyperlink>
      <w:r>
        <w:t xml:space="preserve"> - Details Dragon Fortune Pte Ltd's official registration type (Exempt Private Limited Company) and Singapore address.</w:t>
      </w:r>
      <w:r/>
    </w:p>
    <w:p>
      <w:pPr>
        <w:pStyle w:val="ListNumber"/>
        <w:spacing w:line="240" w:lineRule="auto"/>
        <w:ind w:left="720"/>
      </w:pPr>
      <w:r/>
      <w:hyperlink r:id="rId15">
        <w:r>
          <w:rPr>
            <w:color w:val="0000EE"/>
            <w:u w:val="single"/>
          </w:rPr>
          <w:t>https://news.google.com/rss/articles/CBMiygFBVV95cUxQM3hadmNDTHJmbUVndkhMTXJiR3FWZ1U5R3VOZlJsYjQ3OE5YOTVjWjIxNWtZaXN0VmRheUJsOHJwY2ZON0U5NzBTTHJiUGNXYmxDMTRTbF9JUDJUZG1UNzE4NkExWjRjUEV1Vms3OVpwTFVkMUw2amFlWS1VWE1rSW91N0lyS0RXcDBTMWpRN2Yza3V1N1Azbld2WFBCY3pYdDE1bk1fSWdyTGJ6aXhMWmY2YXdvQkdNbjBUOHBkczF5Wi1BcS1MQVJ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gpbusiness.com/company/Dragon-Fortune-Pte-Ltd" TargetMode="External"/><Relationship Id="rId11" Type="http://schemas.openxmlformats.org/officeDocument/2006/relationships/hyperlink" Target="https://sgpgrid.com/company-details/dragon-fortune-management-pte-ltd" TargetMode="External"/><Relationship Id="rId12" Type="http://schemas.openxmlformats.org/officeDocument/2006/relationships/hyperlink" Target="https://www.dnb.com/business-directory/company-profiles.dragon_fortune_pte_ltd.4f669c0feaf495a35785ea4232258b53.html" TargetMode="External"/><Relationship Id="rId13" Type="http://schemas.openxmlformats.org/officeDocument/2006/relationships/hyperlink" Target="https://recordowl.com/company/dragon-fortune-pte-ltd" TargetMode="External"/><Relationship Id="rId14" Type="http://schemas.openxmlformats.org/officeDocument/2006/relationships/hyperlink" Target="https://sgpgrid.com/company-details/dragon-fortune-pte-ltd" TargetMode="External"/><Relationship Id="rId15" Type="http://schemas.openxmlformats.org/officeDocument/2006/relationships/hyperlink" Target="https://news.google.com/rss/articles/CBMiygFBVV95cUxQM3hadmNDTHJmbUVndkhMTXJiR3FWZ1U5R3VOZlJsYjQ3OE5YOTVjWjIxNWtZaXN0VmRheUJsOHJwY2ZON0U5NzBTTHJiUGNXYmxDMTRTbF9JUDJUZG1UNzE4NkExWjRjUEV1Vms3OVpwTFVkMUw2amFlWS1VWE1rSW91N0lyS0RXcDBTMWpRN2Yza3V1N1Azbld2WFBCY3pYdDE1bk1fSWdyTGJ6aXhMWmY2YXdvQkdNbjBUOHBkczF5Wi1BcS1MQVJ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