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Innovative FMCG founders confront valuation illusions and funding gaps in UK’s evolving market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UK’s fast-moving consumer goods (FMCG) sector is experiencing a significant transformation, driven by innovative founders eager to challenge conventional categories. Brands such as Deliciously Ella, Biotiful, and Wild exemplify how compelling narratives, striking branding, and mission-focused approaches can disrupt established markets and even attract major acquisitions. However, for every successful venture, numerous startups find themselves in a challenging funding dead-zone.</w:t>
      </w:r>
      <w:r/>
    </w:p>
    <w:p>
      <w:r/>
      <w:r>
        <w:t>The core issue lies not in product demand or quality, but rather in the precarious trajectory between gaining initial traction and achieving sustainable growth. The UK’s Seed Enterprise Investment Scheme (SEIS) and Enterprise Investment Scheme (EIS) have acted as catalysts for early-stage FMCG brands by providing tax incentives that entice angel investors and crowdfunding avenues. As a result, founders can secure initial funding with relatively lenient terms. Early enthusiasm and the allure of unique concepts often encourage financial backing, despite the complexities that can arise as businesses scale.</w:t>
      </w:r>
      <w:r/>
    </w:p>
    <w:p>
      <w:r/>
      <w:r>
        <w:t xml:space="preserve">While the early-stage ecosystem fosters innovation, it simultaneously breeds intense competition. Highly saturated markets like hard seltzers and functional sodas are prime examples, with numerous brands vying for dominance and claiming to be “the next big thing.” In such crowded sectors, founders may encounter misjudgments—be it in investor choices, deal structuring, or perceived valuations. </w:t>
      </w:r>
      <w:r/>
    </w:p>
    <w:p>
      <w:r/>
      <w:r>
        <w:t>One founder, who has experienced this firsthand, noted the pitfalls of early-stage valuations. Valuations often serve as indicators of momentum rather than true worth, leading to inflated expectations. For instance, a brand generating £100k in revenue might raise funds at a £2m valuation, only to struggle with the idea that a future £1m revenue could justify a £20m valuation. This creates a “valuation illusion,” with founders believing they possess significant worth on paper that may not hold true in practice.</w:t>
      </w:r>
      <w:r/>
    </w:p>
    <w:p>
      <w:r/>
      <w:r>
        <w:t>Additionally, while venture capital (VC) can be beneficial, the dynamics can create pressure for rapid growth, as VCs often seek high returns within strict timelines. The emphasis on identifying “unicorns” can lead to an environment where only a few successes justify a host of failures. This model may not be conducive to the slower, more organic growth often required by consumer-focused businesses, resulting in a misalignment of interests between founders and investors.</w:t>
      </w:r>
      <w:r/>
    </w:p>
    <w:p>
      <w:r/>
      <w:r>
        <w:t>Reaching the £5m revenue mark, with the prospect of profitability, represents a significant milestone for founders, allowing them more leverage in funding negotiations. At this juncture, they can explore various financing options such as VC, private equity, strategic partnerships, or debt. However, it is noteworthy that achieving this level of success remains a rarity for many UK brands. Even when businesses do reach this threshold, the complexities surrounding their ownership structures can leave founders feeling sidelined.</w:t>
      </w:r>
      <w:r/>
    </w:p>
    <w:p>
      <w:r/>
      <w:r>
        <w:t>In contrast to VCs, family offices often provide a more patient form of capital, investing their own money and offering flexible terms that promote sustainable growth. However, gaining access to such funding can be challenging, as these investors typically operate under the radar and normally require the right connections.</w:t>
      </w:r>
      <w:r/>
    </w:p>
    <w:p>
      <w:r/>
      <w:r>
        <w:t>The unique characteristics of consumer brands—complex distribution channels, slow-building brand equity, and demanding retail environments—highlight a gap in the VC model, which is often more suited to technology or business-to-business software companies. There is a growing call for a new approach to funding in the FMCG sector, advocating for patient capital and operator-led funds that allow for more reasonable expectations of growth. This shift could help ensure that promising brands are afforded the opportunity to develop into lasting enterprises rather than falling into the chasm between initial success and sustainable scaling.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https://www.icaew.com/insights/tax-news/2022/sept-2022/chancellor-extends-reliefs-and-incentives-for-business-investment</w:t>
        </w:r>
      </w:hyperlink>
      <w:r>
        <w:t xml:space="preserve"> - This article discusses the extension and enhancement of the Enterprise Investment Scheme (EIS) and Seed Enterprise Investment Scheme (SEIS), which provide tax incentives to early-stage FMCG brands in the UK, facilitating initial funding with favorable terms.</w:t>
      </w:r>
      <w:r/>
    </w:p>
    <w:p>
      <w:pPr>
        <w:pStyle w:val="ListNumber"/>
        <w:spacing w:line="240" w:lineRule="auto"/>
        <w:ind w:left="720"/>
      </w:pPr>
      <w:r/>
      <w:hyperlink r:id="rId11">
        <w:r>
          <w:rPr>
            <w:color w:val="0000EE"/>
            <w:u w:val="single"/>
          </w:rPr>
          <w:t>https://www.orielipo.com/blog</w:t>
        </w:r>
      </w:hyperlink>
      <w:r>
        <w:t xml:space="preserve"> - This blog provides insights into the tax benefits of SEIS and EIS eligible companies, highlighting how these schemes support early-stage FMCG brands in securing initial funding with relatively lenient terms.</w:t>
      </w:r>
      <w:r/>
    </w:p>
    <w:p>
      <w:pPr>
        <w:pStyle w:val="ListNumber"/>
        <w:spacing w:line="240" w:lineRule="auto"/>
        <w:ind w:left="720"/>
      </w:pPr>
      <w:r/>
      <w:hyperlink r:id="rId12">
        <w:r>
          <w:rPr>
            <w:color w:val="0000EE"/>
            <w:u w:val="single"/>
          </w:rPr>
          <w:t>https://tbat.co.uk/eis-and-seis-tax-relief-igniting-investment-in-todays-business-landscape/</w:t>
        </w:r>
      </w:hyperlink>
      <w:r>
        <w:t xml:space="preserve"> - This article explains how EIS and SEIS tax reliefs fuel growth and expansion for early-stage businesses, including FMCG brands, by offering tax incentives that attract angel investors and crowdfunding avenues.</w:t>
      </w:r>
      <w:r/>
    </w:p>
    <w:p>
      <w:pPr>
        <w:pStyle w:val="ListNumber"/>
        <w:spacing w:line="240" w:lineRule="auto"/>
        <w:ind w:left="720"/>
      </w:pPr>
      <w:r/>
      <w:hyperlink r:id="rId13">
        <w:r>
          <w:rPr>
            <w:color w:val="0000EE"/>
            <w:u w:val="single"/>
          </w:rPr>
          <w:t>https://www.ukglobalinvest.com/2024/09/07/boosting-uk-growth-how-extended-start-up-investment-schemes-are-attracting-global-talent-and-innovation-3/</w:t>
        </w:r>
      </w:hyperlink>
      <w:r>
        <w:t xml:space="preserve"> - This article discusses how extended start-up investment schemes, such as SEIS and EIS, have attracted global talent and innovation, supporting early-stage FMCG brands in securing initial funding with favorable terms.</w:t>
      </w:r>
      <w:r/>
    </w:p>
    <w:p>
      <w:pPr>
        <w:pStyle w:val="ListNumber"/>
        <w:spacing w:line="240" w:lineRule="auto"/>
        <w:ind w:left="720"/>
      </w:pPr>
      <w:r/>
      <w:hyperlink r:id="rId14">
        <w:r>
          <w:rPr>
            <w:color w:val="0000EE"/>
            <w:u w:val="single"/>
          </w:rPr>
          <w:t>https://www.ukglobalinvest.com/2024/09/05/boosting-uk-growth-how-extended-start-up-investment-schemes-are-attracting-global-entrepreneurs/</w:t>
        </w:r>
      </w:hyperlink>
      <w:r>
        <w:t xml:space="preserve"> - This article highlights how extended start-up investment schemes, including SEIS and EIS, have attracted global entrepreneurs, supporting early-stage FMCG brands in securing initial funding with favorable terms.</w:t>
      </w:r>
      <w:r/>
    </w:p>
    <w:p>
      <w:pPr>
        <w:pStyle w:val="ListNumber"/>
        <w:spacing w:line="240" w:lineRule="auto"/>
        <w:ind w:left="720"/>
      </w:pPr>
      <w:r/>
      <w:hyperlink r:id="rId15">
        <w:r>
          <w:rPr>
            <w:color w:val="0000EE"/>
            <w:u w:val="single"/>
          </w:rPr>
          <w:t>https://www.mha.co.uk/insights/tax-incentive-schemes-to-help-your-business-grow-and-raise-capital-finance</w:t>
        </w:r>
      </w:hyperlink>
      <w:r>
        <w:t xml:space="preserve"> - This article explains how tax incentive schemes like EIS and SEIS help businesses, including FMCG brands, grow and raise capital by offering tax reliefs to investors, facilitating initial funding with favorable terms.</w:t>
      </w:r>
      <w:r/>
    </w:p>
    <w:p>
      <w:pPr>
        <w:pStyle w:val="ListNumber"/>
        <w:spacing w:line="240" w:lineRule="auto"/>
        <w:ind w:left="720"/>
      </w:pPr>
      <w:r/>
      <w:hyperlink r:id="rId16">
        <w:r>
          <w:rPr>
            <w:color w:val="0000EE"/>
            <w:u w:val="single"/>
          </w:rPr>
          <w:t>https://news.google.com/rss/articles/CBMisgFBVV95cUxONU5YLVYxUHVyV3A0RmhoZGdlOGhGNkl3YncwaGJ5THpEVTNzOEI3WlFWaTdUT0FEc2ZrR2hUNVhSUmtLYmJla1RPaXU0LWVsVWRMbmMzS19MOUppRmQzWEpBWTNPZ09zME05Qjd5d1RPRzJDSUtDZHdTRVhYYnllT0w4UmdQUjZxWjA1Ni1NV3BBb1BkYXZHdVRQSzBpSEZWVVY3MzlGZUkwb3RaVk15bFN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caew.com/insights/tax-news/2022/sept-2022/chancellor-extends-reliefs-and-incentives-for-business-investment" TargetMode="External"/><Relationship Id="rId11" Type="http://schemas.openxmlformats.org/officeDocument/2006/relationships/hyperlink" Target="https://www.orielipo.com/blog" TargetMode="External"/><Relationship Id="rId12" Type="http://schemas.openxmlformats.org/officeDocument/2006/relationships/hyperlink" Target="https://tbat.co.uk/eis-and-seis-tax-relief-igniting-investment-in-todays-business-landscape/" TargetMode="External"/><Relationship Id="rId13" Type="http://schemas.openxmlformats.org/officeDocument/2006/relationships/hyperlink" Target="https://www.ukglobalinvest.com/2024/09/07/boosting-uk-growth-how-extended-start-up-investment-schemes-are-attracting-global-talent-and-innovation-3/" TargetMode="External"/><Relationship Id="rId14" Type="http://schemas.openxmlformats.org/officeDocument/2006/relationships/hyperlink" Target="https://www.ukglobalinvest.com/2024/09/05/boosting-uk-growth-how-extended-start-up-investment-schemes-are-attracting-global-entrepreneurs/" TargetMode="External"/><Relationship Id="rId15" Type="http://schemas.openxmlformats.org/officeDocument/2006/relationships/hyperlink" Target="https://www.mha.co.uk/insights/tax-incentive-schemes-to-help-your-business-grow-and-raise-capital-finance" TargetMode="External"/><Relationship Id="rId16" Type="http://schemas.openxmlformats.org/officeDocument/2006/relationships/hyperlink" Target="https://news.google.com/rss/articles/CBMisgFBVV95cUxONU5YLVYxUHVyV3A0RmhoZGdlOGhGNkl3YncwaGJ5THpEVTNzOEI3WlFWaTdUT0FEc2ZrR2hUNVhSUmtLYmJla1RPaXU0LWVsVWRMbmMzS19MOUppRmQzWEpBWTNPZ09zME05Qjd5d1RPRzJDSUtDZHdTRVhYYnllT0w4UmdQUjZxWjA1Ni1NV3BBb1BkYXZHdVRQSzBpSEZWVVY3MzlGZUkwb3RaVk15bFN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