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regulatory debate sparks surge in crypto AI tokens amid market volatility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discussion surrounding the need for regulations in artificial intelligence (AI) has reached a critical juncture, propelled by a viral Twitter post from user Mihir on May 23, 2025. This post advocates for limiting AI’s encroachment into human job markets, suggesting that such technologies should only replace roles deemed unsuitable for human beings, such as those in toxic environments or life-threatening situations like firefighting and space exploration. The conversation, although rooted in ethical considerations, has significant implications for the financial landscape, particularly within the cryptocurrency sector, where the integration of AI-related tokens and blockchain technologies is on the rise.</w:t>
      </w:r>
      <w:r/>
    </w:p>
    <w:p>
      <w:r/>
      <w:r>
        <w:t>Immediately following Mihir's post, the cryptocurrency market experienced a notable surge in trading activity. For instance, tokens like Fetch.ai (FET) and SingularityNET (AGIX) saw substantial increases—FET rose by 8.2% to reach $1.75 while AGIX climbed by 6.5% to $0.92 on Binance within a single day. This uptick reflects a growing investor enthusiasm for AI narratives amid ongoing regulatory discussions, evidencing how developments in AI sentiment can directly sway trading behaviours in the crypto space. Overall, the market capitalisation of cryptocurrencies rose by 3.1% to $2.4 trillion on the same day, demonstrating a strong correlation between AI discussions and major assets like Bitcoin (BTC), which also recorded gains of 2.8%, trading at $67,500.</w:t>
      </w:r>
      <w:r/>
    </w:p>
    <w:p>
      <w:r/>
      <w:r>
        <w:t>From a trading perspective, the urgency surrounding AI regulations has opened both opportunities and risks for investors. The uptick in on-chain activity for AI tokens, particularly Fetch.ai, indicates an increasing appetite from both retail and institutional investors, likely influenced by fears of regulatory action that could constrain or validate AI-centric projects. Notably, Fetch.ai recorded a 15% increase in transaction volume on the Ethereum blockchain in the 24 hours following Mihir's viral post, hinting at burgeoning interest and speculative trading activity within the sector. Short-term momentum strategies centred on tokens like FET and AGIX appear particularly advantageous, given the volatility indices which spiked by 10% on the same day, creating a fertile environment for potential profits.</w:t>
      </w:r>
      <w:r/>
    </w:p>
    <w:p>
      <w:r/>
      <w:r>
        <w:t>Moreover, the analysis of technical indicators suggests a bullish outlook for these AI tokens. Fetch.ai's Relative Strength Index (RSI) approached overbought territory, signalling strong buying interest, while SingularityNET’s Moving Average Convergence Divergence (MACD) indicator provided a buy signal through a crossover. The significant rise in trading volumes for both tokens—25 million for FET and 18 million for AGIX—has further confirmed this trajectory, demonstrating how the interplay of regulatory discourse and investor sentiment produces notable spikes in trading activity.</w:t>
      </w:r>
      <w:r/>
    </w:p>
    <w:p>
      <w:r/>
      <w:r>
        <w:t>However, the broader implications of these regulatory discussions carry inherent risks as well. Should proposed regulations prove overly restrictive, they could trigger a domino effect of sell-offs across the market, reflecting a fragile investor sentiment susceptible to regulatory shifts. This cautious sentiment is underscored by the slight decrease in Bitcoin's dominance, from 54.2% to 53.8%, indicating a capital shift toward the emerging AI token market amidst fluctuating economic landscapes. The fear of missing out on AI innovation remains a palpable driver for traders navigating this intersection of technology and finance, as speculation intensifies around AI's transformative potential.</w:t>
      </w:r>
      <w:r/>
    </w:p>
    <w:p>
      <w:r/>
      <w:r>
        <w:t>The evolving regulatory backdrop, particularly in the U.S. and the European Union, is contributing to this environment of uncertainty. The establishment of a Crypto Task Force by the SEC, aimed at providing clearer guidelines surrounding digital assets, coupled with bipartisan efforts in Congress to address stablecoin legislation and the introduction of a comprehensive AI regulatory framework, indicates a serious commitment to creating a balanced approach to innovation and safety in the digital age. This dual focus on both promoting innovation and addressing ethical considerations is essential for fostering a sustainable growth trajectory within the AI and cryptocurrency sectors.</w:t>
      </w:r>
      <w:r/>
    </w:p>
    <w:p>
      <w:r/>
      <w:r>
        <w:t>As discussions around AI regulation continue to gain traction, the cryptocurrency market's reactions will likely serve as a bellwether for investor sentiment and risk tolerance in this rapidly evolving landscape. The intertwining of AI narratives with the dynamics of the crypto ecosystem exemplifies how changes in technology regulation can ripple through financial markets, shaping future investment strategies while requiring traders to remain vigilant in monitoring both sentiment shifts and macroeconomic indicators.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https://blockchain.news/flashnews/ai-regulations-urgently-needed-impact-on-crypto-market-and-human-job-replacement</w:t>
        </w:r>
      </w:hyperlink>
      <w:r>
        <w:t xml:space="preserve"> - Please view link - unable to able to access data</w:t>
      </w:r>
      <w:r/>
    </w:p>
    <w:p>
      <w:pPr>
        <w:pStyle w:val="ListNumber"/>
        <w:spacing w:line="240" w:lineRule="auto"/>
        <w:ind w:left="720"/>
      </w:pPr>
      <w:r/>
      <w:hyperlink r:id="rId9">
        <w:r>
          <w:rPr>
            <w:color w:val="0000EE"/>
            <w:u w:val="single"/>
          </w:rPr>
          <w:t>https://blockchain.news/flashnews/ai-regulations-urgently-needed-impact-on-crypto-market-and-human-job-replacement</w:t>
        </w:r>
      </w:hyperlink>
      <w:r>
        <w:t xml:space="preserve"> - This article discusses the urgent need for AI regulations, particularly in limiting AI-driven job replacements to roles deemed unsuitable for humans, such as those in toxic environments, life-threatening situations, or hostile conditions. It highlights the impact of these discussions on the cryptocurrency market, noting significant upticks in trading activities for AI-focused tokens like Fetch.ai (FET) and SingularityNET (AGIX) following a viral Twitter post by Mihir (@RhythmicAnalyst) on May 23, 2025. The piece also touches upon the broader implications of AI sentiment on major assets like Bitcoin (BTC) and Ethereum (ETH), emphasizing the interconnectedness of AI developments and the crypto market.</w:t>
      </w:r>
      <w:r/>
    </w:p>
    <w:p>
      <w:pPr>
        <w:pStyle w:val="ListNumber"/>
        <w:spacing w:line="240" w:lineRule="auto"/>
        <w:ind w:left="720"/>
      </w:pPr>
      <w:r/>
      <w:hyperlink r:id="rId10">
        <w:r>
          <w:rPr>
            <w:color w:val="0000EE"/>
            <w:u w:val="single"/>
          </w:rPr>
          <w:t>https://www.forbes.com/sites/digital-assets/2025/02/13/crypto-interest-rates-and-ai-how-to-navigate-2025-macro-economics/</w:t>
        </w:r>
      </w:hyperlink>
      <w:r>
        <w:t xml:space="preserve"> - This Forbes article explores the intersection of AI, cryptocurrency, and macroeconomic factors in 2025. It discusses how AI and automation are reshaping labor markets, with AI-driven efficiencies boosting productivity but raising concerns over job displacement and income inequality. The piece also examines the impact of AI on the cryptocurrency market, highlighting the need for investors to navigate the evolving landscape of interest rates, AI advancements, and crypto regulations. It provides insights into how these factors interplay and affect investment strategies in the digital asset space.</w:t>
      </w:r>
      <w:r/>
    </w:p>
    <w:p>
      <w:pPr>
        <w:pStyle w:val="ListNumber"/>
        <w:spacing w:line="240" w:lineRule="auto"/>
        <w:ind w:left="720"/>
      </w:pPr>
      <w:r/>
      <w:hyperlink r:id="rId11">
        <w:r>
          <w:rPr>
            <w:color w:val="0000EE"/>
            <w:u w:val="single"/>
          </w:rPr>
          <w:t>https://www.jdsupra.com/legalnews/digital-asset-and-ai-highlights-early-2027925/</w:t>
        </w:r>
      </w:hyperlink>
      <w:r>
        <w:t xml:space="preserve"> - This legal analysis provides an overview of early 2025 developments in digital assets and AI regulations. It details the creation of a Crypto Task Force within the SEC, aimed at providing clearer regulatory guidance for digital asset classifications and practices. The article also discusses bipartisan congressional efforts to draft stablecoin legislation and the introduction of the U.S. AI regulatory framework, focusing on promoting innovation while addressing ethical and safety concerns. Additionally, it covers the European Union's AI Act, which classifies AI applications into risk categories and imposes compliance requirements.</w:t>
      </w:r>
      <w:r/>
    </w:p>
    <w:p>
      <w:pPr>
        <w:pStyle w:val="ListNumber"/>
        <w:spacing w:line="240" w:lineRule="auto"/>
        <w:ind w:left="720"/>
      </w:pPr>
      <w:r/>
      <w:hyperlink r:id="rId12">
        <w:r>
          <w:rPr>
            <w:color w:val="0000EE"/>
            <w:u w:val="single"/>
          </w:rPr>
          <w:t>https://www.bitget.com/blog/articles/blockchain-vs-ai-talent-growth-report-2025</w:t>
        </w:r>
      </w:hyperlink>
      <w:r>
        <w:t xml:space="preserve"> - This report examines the potential growth of blockchain technology and its impact on the job market by 2025. It suggests that if blockchain achieves mainstream adoption similar to AI, the job market could see significant expansion, with projections of over 1 million new positions by 2030. The article highlights the need for scaling hiring across various blockchain-related roles and the importance of blockchain education to meet this demand. It also discusses the potential for blockchain to transform industries such as banking, healthcare, and supply chain management.</w:t>
      </w:r>
      <w:r/>
    </w:p>
    <w:p>
      <w:pPr>
        <w:pStyle w:val="ListNumber"/>
        <w:spacing w:line="240" w:lineRule="auto"/>
        <w:ind w:left="720"/>
      </w:pPr>
      <w:r/>
      <w:hyperlink r:id="rId10">
        <w:r>
          <w:rPr>
            <w:color w:val="0000EE"/>
            <w:u w:val="single"/>
          </w:rPr>
          <w:t>https://www.forbes.com/sites/digital-assets/2025/02/13/crypto-interest-rates-and-ai-how-to-navigate-2025-macro-economics/</w:t>
        </w:r>
      </w:hyperlink>
      <w:r>
        <w:t xml:space="preserve"> - This Forbes article explores the intersection of AI, cryptocurrency, and macroeconomic factors in 2025. It discusses how AI and automation are reshaping labor markets, with AI-driven efficiencies boosting productivity but raising concerns over job displacement and income inequality. The piece also examines the impact of AI on the cryptocurrency market, highlighting the need for investors to navigate the evolving landscape of interest rates, AI advancements, and crypto regulations. It provides insights into how these factors interplay and affect investment strategies in the digital asset space.</w:t>
      </w:r>
      <w:r/>
    </w:p>
    <w:p>
      <w:pPr>
        <w:pStyle w:val="ListNumber"/>
        <w:spacing w:line="240" w:lineRule="auto"/>
        <w:ind w:left="720"/>
      </w:pPr>
      <w:r/>
      <w:hyperlink r:id="rId11">
        <w:r>
          <w:rPr>
            <w:color w:val="0000EE"/>
            <w:u w:val="single"/>
          </w:rPr>
          <w:t>https://www.jdsupra.com/legalnews/digital-asset-and-ai-highlights-early-2027925/</w:t>
        </w:r>
      </w:hyperlink>
      <w:r>
        <w:t xml:space="preserve"> - This legal analysis provides an overview of early 2025 developments in digital assets and AI regulations. It details the creation of a Crypto Task Force within the SEC, aimed at providing clearer regulatory guidance for digital asset classifications and practices. The article also discusses bipartisan congressional efforts to draft stablecoin legislation and the introduction of the U.S. AI regulatory framework, focusing on promoting innovation while addressing ethical and safety concerns. Additionally, it covers the European Union's AI Act, which classifies AI applications into risk categories and imposes compliance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ai-regulations-urgently-needed-impact-on-crypto-market-and-human-job-replacement" TargetMode="External"/><Relationship Id="rId10" Type="http://schemas.openxmlformats.org/officeDocument/2006/relationships/hyperlink" Target="https://www.forbes.com/sites/digital-assets/2025/02/13/crypto-interest-rates-and-ai-how-to-navigate-2025-macro-economics/" TargetMode="External"/><Relationship Id="rId11" Type="http://schemas.openxmlformats.org/officeDocument/2006/relationships/hyperlink" Target="https://www.jdsupra.com/legalnews/digital-asset-and-ai-highlights-early-2027925/" TargetMode="External"/><Relationship Id="rId12" Type="http://schemas.openxmlformats.org/officeDocument/2006/relationships/hyperlink" Target="https://www.bitget.com/blog/articles/blockchain-vs-ai-talent-growth-report-2025"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