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Kook Capital tweet sparks fresh debate on crypto trust amid stable bitcoin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cryptocurrency market is no stranger to controversy, with recent events underscoring the intricate interplay between social media narratives and trading sentiment. On May 27, 2025, Kook Capital LLC, a notable player in the crypto space, addressed accusations of being a scam in a tweet targeting unnamed 'garbage-tier KOLs' (Key Opinion Leaders). This statement ignited discussions within trading communities about trust and influence in the often-turbulent crypto ecosystem. While the tweet did not directly impact the price of major cryptocurrencies, it highlighted the ongoing tensions that can significantly shape market sentiment.</w:t>
      </w:r>
      <w:r/>
    </w:p>
    <w:p>
      <w:r/>
      <w:r>
        <w:t>At the time of Kook Capital's statement, Bitcoin (BTC) was trading at $67,500, experiencing a slight dip of 0.3% within the previous hour, while Ethereum (ETH) remained stable at $3,850, according to CoinMarketCap. The trading volume for Bitcoin saw a modest increase of 1.2% in the 24 hours leading up to the tweet, suggesting that the controversy may have sparked heightened trading activity. This event unfolded against a backdrop of broader financial market volatility, with tech-heavy indices like the Nasdaq reflecting a 0.5% decline on the same day, as reported by Yahoo Finance. Such correlations between traditional markets and cryptocurrencies are essential for traders, especially as institutional investors frequently shift capital in response to stock market dynamics.</w:t>
      </w:r>
      <w:r/>
    </w:p>
    <w:p>
      <w:r/>
      <w:r>
        <w:t>The Kook Capital incident serves as a crucial reminder of the importance of sentiment analysis in the crypto arena. Major cryptocurrencies like Bitcoin and Ethereum displayed only minor price fluctuations, but smaller tokens often react dramatically to social media commentary. For instance, Dogecoin (DOGE) experienced a brief 2.1% price spike to $0.165 shortly after the tweet, supported by a trading volume increase of 3.5% within the same hour. This phenomenon highlights the potential for scalpers and short-term traders to exploit volatility driven by social influence.</w:t>
      </w:r>
      <w:r/>
    </w:p>
    <w:p>
      <w:r/>
      <w:r>
        <w:t>Moreover, the relationship between the stock market and crypto assets remains pivotal. The Nasdaq's decline on the same day may prompt risk-averse behaviour among investors in the crypto space, as evidenced by a 1.8% decrease in institutional investments in crypto ETFs, such as the Grayscale Bitcoin Trust (GBTC), in the week prior. This shift indicates a cautious approach, paving the way for increased selling pressure on cryptocurrencies like BTC and ETH if traditional markets continue to falter. The strategic implications for traders include the potential to adopt bearish positions or use hedging strategies on platforms like Deribit.</w:t>
      </w:r>
      <w:r/>
    </w:p>
    <w:p>
      <w:r/>
      <w:r>
        <w:t>Technical indicators further illustrate the market's sentiment on the day of Kook Capital's message. As of noon UTC, Bitcoin's Relative Strength Index (RSI) sat at 52, suggesting neutral momentum, while the Moving Average Convergence Divergence (MACD) indicated a bearish crossover just hours before the tweet. Additionally, on-chain data from Glassnode reported a 4.7% spike in Bitcoin's exchange inflow volume in the lead-up to the tweet, hinting at possible anxiety-driven selling from both whales and retail investors. In contrast, Ethereum exhibited stable on-chain activity, with average gas fees remaining consistent at 15 Gwei, reflecting a lack of immediate panic among its users.</w:t>
      </w:r>
      <w:r/>
    </w:p>
    <w:p>
      <w:r/>
      <w:r>
        <w:t>As the interplay between social media sentiment, stock market trends, and on-chain metrics continues to evolve, traders must navigate these multifaceted signals with care. The closeness of the movements between the S&amp;P 500 and Bitcoin’s price during intraday fluctuations on the day of the tweet further signals the potential impact of macroeconomic events, such as Federal Reserve policy changes, on the crypto landscape. Notably, institutional investments also took a hit, with companies like MicroStrategy (MSTR) seeing a 2.3% decrease in pre-market trading, suggesting a broader risk aversion among institutional players.</w:t>
      </w:r>
      <w:r/>
    </w:p>
    <w:p>
      <w:r/>
      <w:r>
        <w:t>In conclusion, while Kook Capital’s tweet does not directly alter price charts, it encapsulates the delicate sensitivity of the cryptocurrency market to narratives and sentiment. Traders should remain vigilant about both micro-level events, like influencer disputes, and macro-level trends in traditional markets to effectively navigate potential opportunities and risks. As Bitcoin and Ethereum demonstrate resilience amidst minimal fluctuations, the current trading environment favours strategies that intelligently leverage technical analysis alongside insights into cross-market correlations.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https://blockchain.news/flashnews/kookcapitalllc-addresses-crypto-scam-accusations-impact-on-trading-sentiment-and-market-trends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kookcapitalllc-addresses-crypto-scam-accusations-impact-on-trading-sentiment-and-market-trend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