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AIM faces critical juncture as rising costs and regulation squeeze small-cap growth on 30th anniversary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Alternative Investment Market (AIM) approaches its 30th anniversary on 19 June, it casts a long shadow over the landscape of small-cap investment in the UK. Since its inception in 1995, AIM has welcomed over 4,000 companies and facilitated a staggering £136 billion in raised capital. According to Grant Thornton, AIM companies made a substantial contribution of £68 billion in gross value added to the UK economy in 2023, supporting more than 770,000 jobs. However, this remarkable narrative of success is increasingly marred by challenges that threaten the market’s viability.</w:t>
      </w:r>
      <w:r/>
    </w:p>
    <w:p>
      <w:r/>
      <w:r>
        <w:t>The initially light-touch regulatory environment that allowed small companies to flourish has devolved into a financially burdensome regime, with operational costs at times exceeding £1 million annually. This has resulted in a dwindling number of listed companies; as of now, there are only 679 constituents—far fewer than the nearly 1,700 that existed at the market's peak in 2001. Last year alone saw the exit of 89 firms from AIM, a trend that continues into 2025. Many companies cite high fixed costs and limited trading liquidity as key reasons for their departure, with investor risk aversion compounding these challenges.</w:t>
      </w:r>
      <w:r/>
    </w:p>
    <w:p>
      <w:r/>
      <w:r>
        <w:t>Recent regulatory changes have further stymied market growth. As firms grapple with escalating fees and bureaucratic hurdles, interest in AIM is diminishing. This discontent is echoed in discussions across the industry, where voices of scepticism regarding AIM's future have become increasingly prominent. Speaking to City A.M., analysts have pointed to the urgent need for market reform to align AIM more closely with the rapid pace of modern business finance.</w:t>
      </w:r>
      <w:r/>
    </w:p>
    <w:p>
      <w:r/>
      <w:r>
        <w:t>Despite these concerns, the week leading up to the anniversary saw some bright spots in AIM's performance. The AIM All-Share ended the week up 0.75 per cent, slightly outpacing the FTSE 100. Notably, Karelian Diamonds surged by 144 per cent after securing mining rights in Finland, while Haydale Graphene Industries reported strong commercial traction, seeing its shares rise by 127 per cent. Atlantic Lithium and Phoenix Copper also experienced significant stock increases, highlighting moments of optimism amid a backdrop of broader instability.</w:t>
      </w:r>
      <w:r/>
    </w:p>
    <w:p>
      <w:r/>
      <w:r>
        <w:t>Conversely, investors in Metals One faced a difficult week, with shares plummeting by half following confirmation of an acquisition that spooked the market. Similarly, Premier African Minerals saw a significant decline after announcing a fundraising effort that issued new shares at a steep discount, underscoring the ongoing volatility in small-cap investments.</w:t>
      </w:r>
      <w:r/>
    </w:p>
    <w:p>
      <w:r/>
      <w:r>
        <w:t>The current landscape for AIM reflects a complex interplay of positive growth stories amidst overarching challenges. For instance, Vinanz is poised to embark on an innovative approach to capital raising by launching a £1 million WRAP Retail share offer, aimed at democratizing access to investments that had previously been available only to institutional investors. Chief Executive Hewie Rattray remarked on this initiative’s potential to reshape participation in the sector, reinforcing that even in a struggling market, opportunities persist.</w:t>
      </w:r>
      <w:r/>
    </w:p>
    <w:p>
      <w:r/>
      <w:r>
        <w:t>As the London Stock Exchange prepares to celebrate AIM's achievements, it is crucial to also confront the problematic trends that could define the market's future. The sentiment surrounding AIM appears to be one of cautious optimism yet exhaustion, urging stakeholders to reflect on how best to navigate the complexities of a rapidly changing financial landscape. With both successes and failures under its belt, the pathway forward for AIM remains uncertain, making the need for reform more pressing than ever.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https://www.dailymail.co.uk/money/markets/article-14810225/Small-Cap-Movers-AIM-market-withering-away-age.html?ns_mchannel=rss&amp;ns_campaign=1490&amp;ito=1490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https://www.stockexchangeannouncements.com.uk/how-aim-works-for-investors-and-companies/</w:t>
        </w:r>
      </w:hyperlink>
      <w:r>
        <w:t xml:space="preserve"> - The AIM market, established in 1995, is designed for smaller companies looking to raise capital. It offers a lighter regulation framework compared to the main market, allowing more flexible capital raising. AIM has welcomed over 3,800 companies to date and has generated substantial investment in various sectors. However, ongoing changes in regulations and increasing operational costs pose challenges, which may deter future entrants. The market has seen fluctuations in listings and capitalisation, reflecting the economic environment and investor sentiment.</w:t>
      </w:r>
      <w:r/>
    </w:p>
    <w:p>
      <w:pPr>
        <w:pStyle w:val="ListNumber"/>
        <w:spacing w:line="240" w:lineRule="auto"/>
        <w:ind w:left="720"/>
      </w:pPr>
      <w:r/>
      <w:hyperlink r:id="rId10">
        <w:r>
          <w:rPr>
            <w:color w:val="0000EE"/>
            <w:u w:val="single"/>
          </w:rPr>
          <w:t>https://www.grantthornton.co.uk/library/articles/2023/aims-30-year-journey/</w:t>
        </w:r>
      </w:hyperlink>
      <w:r>
        <w:t xml:space="preserve"> - Grant Thornton examines the 30-year evolution of the AIM market, highlighting its significance in contributing £68 billion in gross value added to the UK economy and supporting over 770,000 jobs. With notable fluctuations in the number of listed companies, the report underscores how AIM has become a critical financing tool for SMEs. However, the challenges posed by regulatory burden and operational costs signal a need for potential reform to better serve modern businesses and enhance market viability.</w:t>
      </w:r>
      <w:r/>
    </w:p>
    <w:p>
      <w:pPr>
        <w:pStyle w:val="ListNumber"/>
        <w:spacing w:line="240" w:lineRule="auto"/>
        <w:ind w:left="720"/>
      </w:pPr>
      <w:r/>
      <w:hyperlink r:id="rId13">
        <w:r>
          <w:rPr>
            <w:color w:val="0000EE"/>
            <w:u w:val="single"/>
          </w:rPr>
          <w:t>https://www.londonstockexchange.com/discover/news/aim-30th-highlights</w:t>
        </w:r>
      </w:hyperlink>
      <w:r>
        <w:t xml:space="preserve"> - The London Stock Exchange celebrated the 30th anniversary of AIM, showcasing its contributions to the UK economy and the number of companies it has attracted. The LSE provides a robust platform for small and medium enterprises, reinforcing the message of AIM's achievements. However, the press release acknowledges the industry's struggles with increasing costs and regulatory demands, emphasising the need for a balance between oversight and support for emerging businesses on the stock market.</w:t>
      </w:r>
      <w:r/>
    </w:p>
    <w:p>
      <w:pPr>
        <w:pStyle w:val="ListNumber"/>
        <w:spacing w:line="240" w:lineRule="auto"/>
        <w:ind w:left="720"/>
      </w:pPr>
      <w:r/>
      <w:hyperlink r:id="rId12">
        <w:r>
          <w:rPr>
            <w:color w:val="0000EE"/>
            <w:u w:val="single"/>
          </w:rPr>
          <w:t>https://www.cityam.com/are-small-cap-markets-in-trouble-due-to-increased-regulation/</w:t>
        </w:r>
      </w:hyperlink>
      <w:r>
        <w:t xml:space="preserve"> - City A.M. discusses the growing concerns surrounding small-cap markets, particularly AIM, noting how increased regulation has made it challenging for smaller firms. The article highlights the declining number of AIM constituents, reflecting market discontent as companies grapple with higher fees and bureaucracy. Investors and analysts voice scepticism towards the future viability of AIM, alongside noting the necessity for reform to better adapt to the fast-paced nature of modern business finance.</w:t>
      </w:r>
      <w:r/>
    </w:p>
    <w:p>
      <w:pPr>
        <w:pStyle w:val="ListNumber"/>
        <w:spacing w:line="240" w:lineRule="auto"/>
        <w:ind w:left="720"/>
      </w:pPr>
      <w:r/>
      <w:hyperlink r:id="rId14">
        <w:r>
          <w:rPr>
            <w:color w:val="0000EE"/>
            <w:u w:val="single"/>
          </w:rPr>
          <w:t>https://www.proactiveinvestors.co.uk/companies/news/1027168/profit-16827.html</w:t>
        </w:r>
      </w:hyperlink>
      <w:r>
        <w:t xml:space="preserve"> - Proactive Investors provides updates on the latest activities of small-cap companies listed on AIM. The site regularly features news about performance trends and market movements that affect AIM-listed businesses. It highlights how external factors, such as economic shifts and innovation in the sectors involved, impact investor sentiment and company valuations. This ongoing analysis serves to inform potential investors about strategic decisions and industry developments affecting small-cap investments.</w:t>
      </w:r>
      <w:r/>
    </w:p>
    <w:p>
      <w:pPr>
        <w:pStyle w:val="ListNumber"/>
        <w:spacing w:line="240" w:lineRule="auto"/>
        <w:ind w:left="720"/>
      </w:pPr>
      <w:r/>
      <w:hyperlink r:id="rId15">
        <w:r>
          <w:rPr>
            <w:color w:val="0000EE"/>
            <w:u w:val="single"/>
          </w:rPr>
          <w:t>https://www.wealthmanager.co.uk/the-aim-market-a-potential-haven-for-lost-capital-options/</w:t>
        </w:r>
      </w:hyperlink>
      <w:r>
        <w:t xml:space="preserve"> - Wealth Manager explores the AIM market as a potential refuge for investors seeking viable capital options amidst market fluctuations. Despite the challenges posed by operational costs and falling stock numbers, the article remains optimistic about AIM's role in supporting entrepreneurs. It discusses the historical performance of AIM, the inherent risks that come with investing in smaller companies, and the opportunities that innovative start-ups present. The insight into investor psychology provides a rounded perspective on market dynamics.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4810225/Small-Cap-Movers-AIM-market-withering-away-age.html?ns_mchannel=rss&amp;ns_campaign=1490&amp;ito=1490" TargetMode="External"/><Relationship Id="rId10" Type="http://schemas.openxmlformats.org/officeDocument/2006/relationships/hyperlink" Target="https://www.grantthornton.co.uk/library/articles/2023/aims-30-year-journey/" TargetMode="External"/><Relationship Id="rId11" Type="http://schemas.openxmlformats.org/officeDocument/2006/relationships/hyperlink" Target="https://www.stockexchangeannouncements.com.uk/how-aim-works-for-investors-and-companies/" TargetMode="External"/><Relationship Id="rId12" Type="http://schemas.openxmlformats.org/officeDocument/2006/relationships/hyperlink" Target="https://www.cityam.com/are-small-cap-markets-in-trouble-due-to-increased-regulation/" TargetMode="External"/><Relationship Id="rId13" Type="http://schemas.openxmlformats.org/officeDocument/2006/relationships/hyperlink" Target="https://www.londonstockexchange.com/discover/news/aim-30th-highlights" TargetMode="External"/><Relationship Id="rId14" Type="http://schemas.openxmlformats.org/officeDocument/2006/relationships/hyperlink" Target="https://www.proactiveinvestors.co.uk/companies/news/1027168/profit-16827.html" TargetMode="External"/><Relationship Id="rId15" Type="http://schemas.openxmlformats.org/officeDocument/2006/relationships/hyperlink" Target="https://www.wealthmanager.co.uk/the-aim-market-a-potential-haven-for-lost-capital-op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