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Barclays' strategic UK pivot lifts RoTE to 12.3% and drives 41% EPS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Barclays' Q2 2025 results reveal a bank deeply engaged in transformative change, marked by strong financial performance and a clear strategic focus on capital efficiency and UK-centric growth. The bank reported a Return on Tangible Equity (RoTE) of 12.3%, significantly higher than the industry average, alongside a 41% surge in earnings per share. This performance signals a successful redefinition of long-term value creation in a challenging post-crisis banking landscape, attracting investors seeking a balance of income and growth.</w:t>
      </w:r>
      <w:r/>
    </w:p>
    <w:p>
      <w:r/>
      <w:r>
        <w:t>Central to Barclays’ strategy is its pivot towards UK operations, a move aimed at driving capital-efficient growth. By mid-2025, the bank had deployed £17 billion in business growth risk-weighted assets (RWA), approaching half of its £30 billion UK target. The acquisition of Tesco Bank has been instrumental in this shift, providing a substantial retail banking client base and enhancing the structural scale of Barclays’ domestic business. This UK-centric model is designed to leverage existing infrastructure, enabling organic growth while mitigating the volatility tied to global market fluctuations—a critical advantage given ongoing regulatory and economic uncertainties in international markets.</w:t>
      </w:r>
      <w:r/>
    </w:p>
    <w:p>
      <w:r/>
      <w:r>
        <w:t>Operational improvements are evident in Barclays' reduced cost-income ratio, falling to 59% from 63% a year earlier, reflecting greater operational efficiency and a focus on higher-margin activities. Notably, the UK Corporate Bank and Private Bank divisions have underpinned revenue growth with a 23% year-on-year increase in prime services income. The bank’s investment banking arm also remains robust, securing representation among 60 of the top 100 institutional clients, which strengthens fee income streams and client relationships. This structural clarity and disciplined capital deployment demonstrate Barclays’ commitment to sustainable, profitable growth rather than aggressive market-share expansion.</w:t>
      </w:r>
      <w:r/>
    </w:p>
    <w:p>
      <w:r/>
      <w:r>
        <w:t>The bank's focus on capital allocation is highlighted by its stable risk-weighted assets in the Investment Bank over the past three and a half years, allowing Barclays to concentrate capital on high-return segments such as UK mortgages and corporate lending. This prudent strategy aligns with post-crisis banking priorities—eschewing excessive risk for sustainable margin enhancement and shareholder rewards. Barclays’ capital distribution plans further reflect this balance, with £1 billion earmarked for share buybacks alongside a 3p per share dividend. Supported by a robust CET1 capital ratio of 14%, these payments underline the bank's ability to return value to shareholders while maintaining financial strength.</w:t>
      </w:r>
      <w:r/>
    </w:p>
    <w:p>
      <w:r/>
      <w:r>
        <w:t>Barclays' dual-engine approach to value creation—simultaneously pursuing growth and returning capital—is embodied in its 2026 targets, which include sustaining a RoTE above 12%, maintaining a cost-income ratio in the high 50s, and generating net interest income exceeding £7.6 billion. These ambitions hinge on efficient deployment of the remaining UK RWAs and navigating regulatory and economic headwinds. Leadership under Group CEO C.S. Venkatakrishnan and Group Finance Director Anna Cross has shown disciplined execution, fostering confidence in the bank's strategic direction.</w:t>
      </w:r>
      <w:r/>
    </w:p>
    <w:p>
      <w:r/>
      <w:r>
        <w:t>However, risks remain. Barclays is exposed to competitive pressures in the UK deposit market, evolving regulatory frameworks in both the UK and the US, and macroeconomic uncertainties, particularly in the mortgage sector where lending volumes and credit losses could affect margins. Despite these challenges, Barclays’ diversified revenue streams and structural enhancements provide buffers against downside risks. The bank's consistent improvement in RoTE over recent years, along with a forward price-to-earnings ratio below many peers, suggests that the market may not fully reflect its long-term potential.</w:t>
      </w:r>
      <w:r/>
    </w:p>
    <w:p>
      <w:r/>
      <w:r>
        <w:t>Barclays’ half-year performance also demonstrated broader income growth, with 73% of group income derived from stable sources and a 12% year-on-year increase in net interest income excluding the Investment Bank and Head Office. The bank’s first-half pretax profit surged 23% to £5.2 billion, helped by a strong markets business boosted by heightened global trading activity. Capital distributions increased by 21% compared to the previous year, signalling confidence in both operational resilience and shareholder returns.</w:t>
      </w:r>
      <w:r/>
    </w:p>
    <w:p>
      <w:r/>
      <w:r>
        <w:t>For investors with a medium-term perspective, Barclays’ strategic clarity, capital discipline, and improving profitability metrics combine to make a compelling case. By focusing on a UK-centric model that prioritizes capital efficiency and sustainable returns, Barclays is not just weathering the post-crisis banking environment but actively redefining how banks can create enduring value.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[4]</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https://www.ainvest.com/news/barclays-q2-2025-strategic-rebalancing-strong-rote-signal-buy-opportunity-2507/</w:t>
        </w:r>
      </w:hyperlink>
      <w:r>
        <w:t xml:space="preserve"> - Please view link - unable to able to access data</w:t>
      </w:r>
      <w:r/>
    </w:p>
    <w:p>
      <w:pPr>
        <w:pStyle w:val="ListNumber"/>
        <w:spacing w:line="240" w:lineRule="auto"/>
        <w:ind w:left="720"/>
      </w:pPr>
      <w:r/>
      <w:hyperlink r:id="rId13">
        <w:r>
          <w:rPr>
            <w:color w:val="0000EE"/>
            <w:u w:val="single"/>
          </w:rPr>
          <w:t>https://www.reuters.com/business/finance/barclays-profit-rises-23-trump-tariff-turmoil-lifts-trading-2025-07-29/</w:t>
        </w:r>
      </w:hyperlink>
      <w:r>
        <w:t xml:space="preserve"> - Barclays reported a 23% rise in first-half pretax profit, reaching £5.2 billion, surpassing analysts' forecasts of £4.96 billion. This growth was primarily driven by substantial returns from its markets business amidst heightened trading activity prompted by U.S. President Donald Trump's trade tariffs. The bank announced a £1 billion share buyback and a half-year dividend of 3 pence per share, totaling £1.4 billion in capital distributions, up 21% from the previous year. (</w:t>
      </w:r>
      <w:hyperlink r:id="rId17">
        <w:r>
          <w:rPr>
            <w:color w:val="0000EE"/>
            <w:u w:val="single"/>
          </w:rPr>
          <w:t>reuters.com</w:t>
        </w:r>
      </w:hyperlink>
      <w:r>
        <w:t>)</w:t>
      </w:r>
      <w:r/>
    </w:p>
    <w:p>
      <w:pPr>
        <w:pStyle w:val="ListNumber"/>
        <w:spacing w:line="240" w:lineRule="auto"/>
        <w:ind w:left="720"/>
      </w:pPr>
      <w:r/>
      <w:hyperlink r:id="rId12">
        <w:r>
          <w:rPr>
            <w:color w:val="0000EE"/>
            <w:u w:val="single"/>
          </w:rPr>
          <w:t>https://br.advfn.com/noticias/EDGAR2/2025/artigo/95946918</w:t>
        </w:r>
      </w:hyperlink>
      <w:r>
        <w:t xml:space="preserve"> - In Q1 2025, Barclays delivered a return on equity (RoE) of 12.1% and return on tangible equity (RoTE) of 14.0%, with earnings per share improving to 13.0p. The bank's cost-to-income ratio was 57%, and it maintained a strong balance sheet with a CET1 ratio of 13.9%. (</w:t>
      </w:r>
      <w:hyperlink r:id="rId18">
        <w:r>
          <w:rPr>
            <w:color w:val="0000EE"/>
            <w:u w:val="single"/>
          </w:rPr>
          <w:t>br.advfn.com</w:t>
        </w:r>
      </w:hyperlink>
      <w:r>
        <w:t>)</w:t>
      </w:r>
      <w:r/>
    </w:p>
    <w:p>
      <w:pPr>
        <w:pStyle w:val="ListNumber"/>
        <w:spacing w:line="240" w:lineRule="auto"/>
        <w:ind w:left="720"/>
      </w:pPr>
      <w:r/>
      <w:hyperlink r:id="rId10">
        <w:r>
          <w:rPr>
            <w:color w:val="0000EE"/>
            <w:u w:val="single"/>
          </w:rPr>
          <w:t>https://ng.investing.com/news/company-news/barclays-q2-2025-slides-rote-rises-to-123-as-strategic-shift-progresses-93CH-2029890</w:t>
        </w:r>
      </w:hyperlink>
      <w:r>
        <w:t xml:space="preserve"> - Barclays' income growth was broad-based, with stable income streams constituting 73% of group income in Q2 2025. Net interest income (NII) showed strong performance, with Group NII (excluding Investment Bank and Head Office) reaching £3.1 billion in Q2, up 12% year-on-year. The cost-to-income ratio improved to 59% in Q2 2025 from 63% in Q2 2024, reflecting enhanced operational efficiency. (</w:t>
      </w:r>
      <w:hyperlink r:id="rId19">
        <w:r>
          <w:rPr>
            <w:color w:val="0000EE"/>
            <w:u w:val="single"/>
          </w:rPr>
          <w:t>ng.investing.com</w:t>
        </w:r>
      </w:hyperlink>
      <w:r>
        <w:t>)</w:t>
      </w:r>
      <w:r/>
    </w:p>
    <w:p>
      <w:pPr>
        <w:pStyle w:val="ListNumber"/>
        <w:spacing w:line="240" w:lineRule="auto"/>
        <w:ind w:left="720"/>
      </w:pPr>
      <w:r/>
      <w:hyperlink r:id="rId15">
        <w:r>
          <w:rPr>
            <w:color w:val="0000EE"/>
            <w:u w:val="single"/>
          </w:rPr>
          <w:t>https://macrotrends.net/stocks/charts/BCS/barclays/return-on-tangible-equity</w:t>
        </w:r>
      </w:hyperlink>
      <w:r>
        <w:t xml:space="preserve"> - Barclays' Return on Tangible Equity (RoTE) has shown a consistent upward trend over the past decade, reaching 8.69% in Q1 2025, up from 8.30% in Q4 2024. This indicates a steady improvement in the bank's profitability relative to its tangible equity. (</w:t>
      </w:r>
      <w:hyperlink r:id="rId20">
        <w:r>
          <w:rPr>
            <w:color w:val="0000EE"/>
            <w:u w:val="single"/>
          </w:rPr>
          <w:t>macrotrends.net</w:t>
        </w:r>
      </w:hyperlink>
      <w:r>
        <w:t>)</w:t>
      </w:r>
      <w:r/>
    </w:p>
    <w:p>
      <w:pPr>
        <w:pStyle w:val="ListNumber"/>
        <w:spacing w:line="240" w:lineRule="auto"/>
        <w:ind w:left="720"/>
      </w:pPr>
      <w:r/>
      <w:hyperlink r:id="rId11">
        <w:r>
          <w:rPr>
            <w:color w:val="0000EE"/>
            <w:u w:val="single"/>
          </w:rPr>
          <w:t>https://uk.advfn.com/stock-market/london/barclays-BARC/share-news/Barclays-PLC-2024-Results-Announcement/95424232</w:t>
        </w:r>
      </w:hyperlink>
      <w:r>
        <w:t xml:space="preserve"> - In 2024, Barclays UK Corporate Bank reported a return on average allocated tangible equity of 16.0%, down from 20.5% in 2023. The bank's cost-to-income ratio was 55%, and the loan loss rate was 29 basis points. (</w:t>
      </w:r>
      <w:hyperlink r:id="rId21">
        <w:r>
          <w:rPr>
            <w:color w:val="0000EE"/>
            <w:u w:val="single"/>
          </w:rPr>
          <w:t>uk.advfn.com</w:t>
        </w:r>
      </w:hyperlink>
      <w:r>
        <w:t>)</w:t>
      </w:r>
      <w:r/>
    </w:p>
    <w:p>
      <w:pPr>
        <w:pStyle w:val="ListNumber"/>
        <w:spacing w:line="240" w:lineRule="auto"/>
        <w:ind w:left="720"/>
      </w:pPr>
      <w:r/>
      <w:hyperlink r:id="rId14">
        <w:r>
          <w:rPr>
            <w:color w:val="0000EE"/>
            <w:u w:val="single"/>
          </w:rPr>
          <w:t>https://www.sec.gov/Archives/edgar/data/312069/000031206924000122/bcs-20240630_d2.htm</w:t>
        </w:r>
      </w:hyperlink>
      <w:r>
        <w:t xml:space="preserve"> - Barclays' Return on Average Tangible Shareholders' Equity was 9.9% in Q2 2024, down from 12.3% in Q1 2024. The bank's cost-to-income ratio was 59%, and the loan loss rate was 61 basis points. (</w:t>
      </w:r>
      <w:hyperlink r:id="rId22">
        <w:r>
          <w:rPr>
            <w:color w:val="0000EE"/>
            <w:u w:val="single"/>
          </w:rPr>
          <w:t>sec.gov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barclays-q2-2025-strategic-rebalancing-strong-rote-signal-buy-opportunity-2507/" TargetMode="External"/><Relationship Id="rId10" Type="http://schemas.openxmlformats.org/officeDocument/2006/relationships/hyperlink" Target="https://ng.investing.com/news/company-news/barclays-q2-2025-slides-rote-rises-to-123-as-strategic-shift-progresses-93CH-2029890" TargetMode="External"/><Relationship Id="rId11" Type="http://schemas.openxmlformats.org/officeDocument/2006/relationships/hyperlink" Target="https://uk.advfn.com/stock-market/london/barclays-BARC/share-news/Barclays-PLC-2024-Results-Announcement/95424232" TargetMode="External"/><Relationship Id="rId12" Type="http://schemas.openxmlformats.org/officeDocument/2006/relationships/hyperlink" Target="https://br.advfn.com/noticias/EDGAR2/2025/artigo/95946918" TargetMode="External"/><Relationship Id="rId13" Type="http://schemas.openxmlformats.org/officeDocument/2006/relationships/hyperlink" Target="https://www.reuters.com/business/finance/barclays-profit-rises-23-trump-tariff-turmoil-lifts-trading-2025-07-29/" TargetMode="External"/><Relationship Id="rId14" Type="http://schemas.openxmlformats.org/officeDocument/2006/relationships/hyperlink" Target="https://www.sec.gov/Archives/edgar/data/312069/000031206924000122/bcs-20240630_d2.htm" TargetMode="External"/><Relationship Id="rId15" Type="http://schemas.openxmlformats.org/officeDocument/2006/relationships/hyperlink" Target="https://macrotrends.net/stocks/charts/BCS/barclays/return-on-tangible-equity"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finance/barclays-profit-rises-23-trump-tariff-turmoil-lifts-trading-2025-07-29/?utm_source=openai" TargetMode="External"/><Relationship Id="rId18" Type="http://schemas.openxmlformats.org/officeDocument/2006/relationships/hyperlink" Target="https://br.advfn.com/noticias/EDGAR2/2025/artigo/95946918?utm_source=openai" TargetMode="External"/><Relationship Id="rId19" Type="http://schemas.openxmlformats.org/officeDocument/2006/relationships/hyperlink" Target="https://ng.investing.com/news/company-news/barclays-q2-2025-slides-rote-rises-to-123-as-strategic-shift-progresses-93CH-2029890?utm_source=openai" TargetMode="External"/><Relationship Id="rId20" Type="http://schemas.openxmlformats.org/officeDocument/2006/relationships/hyperlink" Target="https://macrotrends.net/stocks/charts/BCS/barclays/return-on-tangible-equity?utm_source=openai" TargetMode="External"/><Relationship Id="rId21" Type="http://schemas.openxmlformats.org/officeDocument/2006/relationships/hyperlink" Target="https://uk.advfn.com/stock-market/london/barclays-BARC/share-news/Barclays-PLC-2024-Results-Announcement/95424232?utm_source=openai" TargetMode="External"/><Relationship Id="rId22" Type="http://schemas.openxmlformats.org/officeDocument/2006/relationships/hyperlink" Target="https://www.sec.gov/Archives/edgar/data/312069/000031206924000122/bcs-20240630_d2.ht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