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Fieldfisher frames modest gains as proof of pan‑European growth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International firm Fieldfisher reported only modest financial gains for the year to 31 March 2025 but framed the results as evidence of a deliberate, continent‑wide growth strategy. According to the original report in The Law Gazette, profit per equity partner rose to £1.0m — an increase of around 3% on the prior year — while firm‑wide revenue edged up to £385m, a rise of roughly 1%. The firm described the numbers as the product of “strategic transformation and investment” across its network. (The firm’s own earlier announcement for the 2023/24 period had set out stronger year‑on‑year growth for that earlier reporting window, with revenue of about £359m and profit per equity partner close to £966,000.) </w:t>
      </w:r>
      <w:r/>
    </w:p>
    <w:p>
      <w:r/>
      <w:r>
        <w:t xml:space="preserve">Fieldfisher says growth was broad‑based across practice areas, with double‑digit increases cited in regulatory, intellectual property, tax, real estate and personal injury and medical negligence teams. The firm also reported revenue gains across its European network, singling out newly opened offices in Austria and Italy and notable uplifts in Germany, Spain and the Netherlands. These departmental and regional gains are presented by management as validation of a cross‑border strategy designed to capture more integrated, pan‑European work. </w:t>
      </w:r>
      <w:r/>
    </w:p>
    <w:p>
      <w:r/>
      <w:r>
        <w:t xml:space="preserve">The results reflect, and in part follow from, a concerted expansion of the firm’s continental footprint. Management point to the opening or relaunch of offices in Austria, Italy, Poland and Portugal in the past two years and to the reintegration of Italy as a fully integrated office following an earlier split from a verein partner — a structural change the firm acknowledges has affected this year’s reported results. Independent reporting of recent leadership and organisational moves places those steps squarely in the context of Fieldfisher’s stated ambition to become a leading European firm. </w:t>
      </w:r>
      <w:r/>
    </w:p>
    <w:p>
      <w:r/>
      <w:r>
        <w:t xml:space="preserve">Alongside lateral hires and office openings, the firm has been investing heavily in premises as part of its European programme. Fieldfisher’s own communications describe a move to a new, sustainably designed Hamburg office in the EDGE HafenCity development and set out planned projects in Berlin and Dublin. The firm has confirmed plans to relocate its Birmingham team to Two Chamberlain Square and to undertake a substantial refurbishment of its London headquarters after extending its Riverbank House lease to 2035 — a commitment that will keep the firm occupying roughly 81,000 sq ft in central London. The company portrays these property decisions as integral to recruitment, client engagement and its ESG‑led workplace strategy. </w:t>
      </w:r>
      <w:r/>
    </w:p>
    <w:p>
      <w:r/>
      <w:r>
        <w:t xml:space="preserve">Taken together, the modest headline increases and the investments in people, premises and cross‑border integration present a picture of consolidation rather than rapid top‑line acceleration. “We have ambitious plans for the future,” managing partner Robert Shooter said in the firm’s results announcement as reported by The Law Gazette, framing the figures as a transitional stage in a longer‑term plan. The firm claims that the current period of transformation and integration will sustain its success going forward, though the reported one‑per‑cent revenue uptick and three‑percent rise in profit per equity partner underline that ambition will need to be translated into stronger growth to match the rhetoric. </w:t>
      </w:r>
      <w:r/>
    </w:p>
    <w:p>
      <w:r/>
      <w:r>
        <w:t xml:space="preserve">Fieldfisher’s published locations listing and successive announcements provide the clearest evidence of how that strategy is being executed: a network of some 28 offices across 14 countries intended to support cross‑border work and sector specialisms. Whether the recent structural changes and property investments will produce materially faster growth in coming years remains the firm’s stated objective — and the metric by which the market and clients will judge progress.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https://www.lawgazette.co.uk/news/fieldfisher-reports-marginal-revenue-rise-amid-europe-changes/5124202.article</w:t>
        </w:r>
      </w:hyperlink>
      <w:r>
        <w:t xml:space="preserve"> - Please view link - unable to able to access data</w:t>
      </w:r>
      <w:r/>
    </w:p>
    <w:p>
      <w:pPr>
        <w:pStyle w:val="ListNumber"/>
        <w:spacing w:line="240" w:lineRule="auto"/>
        <w:ind w:left="720"/>
      </w:pPr>
      <w:r/>
      <w:hyperlink r:id="rId10">
        <w:r>
          <w:rPr>
            <w:color w:val="0000EE"/>
            <w:u w:val="single"/>
          </w:rPr>
          <w:t>https://www.fieldfisher.com/en/insights/fieldfisher-delivers-strong-financial-results-with-double-digit-revenue-growth-in-2023-2024</w:t>
        </w:r>
      </w:hyperlink>
      <w:r>
        <w:t xml:space="preserve"> - Fieldfisher’s press release for the 2023/24 period sets out the firm’s financial highlights for the eleven months to 31 March 2024. It reports firm‑wide revenue of £359 million, a ten per cent increase, and profit per equity partner of £966,000. The announcement describes double‑digit revenue growth across multiple departments — including regulatory, IP, tax, real estate and personal injury and medical negligence — and records strong performance across its European network. The release also outlines strategic expansion activity such as the opening of a Vienna office and the relaunch of Italy as a fully integrated office, with comments from managing partner Robert Shooter.</w:t>
      </w:r>
      <w:r/>
    </w:p>
    <w:p>
      <w:pPr>
        <w:pStyle w:val="ListNumber"/>
        <w:spacing w:line="240" w:lineRule="auto"/>
        <w:ind w:left="720"/>
      </w:pPr>
      <w:r/>
      <w:hyperlink r:id="rId12">
        <w:r>
          <w:rPr>
            <w:color w:val="0000EE"/>
            <w:u w:val="single"/>
          </w:rPr>
          <w:t>https://www.fieldfisher.com/en/locations</w:t>
        </w:r>
      </w:hyperlink>
      <w:r>
        <w:t xml:space="preserve"> - Fieldfisher’s official locations page lists the firm’s international network and provides a current snapshot of its office footprint. The page confirms Fieldfisher’s offices across continental Europe and elsewhere, naming cities including Amsterdam, Berlin, Birmingham, Bologna, Brussels, Dublin, Frankfurt, Hamburg, Kraków, Milan, Munich, Paris, Vienna, Warsaw and Silicon Valley. It summarises the firm’s statement that the network comprises multiple offices across 14 countries and emphasises the integrated nature of the platform, enabling cross‑border work. The locations listing also explains the firm’s sector strengths and regional presence, supporting claims about recent European expansion and new office openings.</w:t>
      </w:r>
      <w:r/>
    </w:p>
    <w:p>
      <w:pPr>
        <w:pStyle w:val="ListNumber"/>
        <w:spacing w:line="240" w:lineRule="auto"/>
        <w:ind w:left="720"/>
      </w:pPr>
      <w:r/>
      <w:hyperlink r:id="rId13">
        <w:r>
          <w:rPr>
            <w:color w:val="0000EE"/>
            <w:u w:val="single"/>
          </w:rPr>
          <w:t>https://www.fieldfisher.com/en/insights/state-of-the-art-new-hamburg-office-reveals-confident-outlook-at-fieldfisher</w:t>
        </w:r>
      </w:hyperlink>
      <w:r>
        <w:t xml:space="preserve"> - Fieldfisher’s announcement regarding its new Hamburg office describes the firm’s relocation to the EDGE HafenCity development and explains how the move forms part of a wider programme of property investment across Europe. The article details the sustainable and wellbeing‑led design of the new premises, highlights the importance of Germany as a high‑growth market for the firm, and notes other office projects including planned moves in Berlin and recent investment in Dublin. The piece quotes senior Germany leadership and discusses how property strategy links to Fieldfisher’s ESG and European expansion objectives, corroborating statements about premises investment in German cities.</w:t>
      </w:r>
      <w:r/>
    </w:p>
    <w:p>
      <w:pPr>
        <w:pStyle w:val="ListNumber"/>
        <w:spacing w:line="240" w:lineRule="auto"/>
        <w:ind w:left="720"/>
      </w:pPr>
      <w:r/>
      <w:hyperlink r:id="rId14">
        <w:r>
          <w:rPr>
            <w:color w:val="0000EE"/>
            <w:u w:val="single"/>
          </w:rPr>
          <w:t>https://www.fieldfisher.com/en/insights/fieldfisher-announces-location-of-new-birmingham-office</w:t>
        </w:r>
      </w:hyperlink>
      <w:r>
        <w:t xml:space="preserve"> - Fieldfisher’s announcement about its Birmingham relocation confirms plans to move the local team to Two Chamberlain Square within the Paradise Birmingham development. The release outlines the strategic rationale for the move, saying the city centre location will support growth ambitions, enable recruitment and strengthen regional client engagement. It quotes managing partner Robert Shooter on Birmingham’s role within the firm’s European strategy and notes timing and capacity expectations for the new office. The statement corroborates the article’s reference to a Birmingham office move as part of Fieldfisher’s programme of strategic premises changes across the network.</w:t>
      </w:r>
      <w:r/>
    </w:p>
    <w:p>
      <w:pPr>
        <w:pStyle w:val="ListNumber"/>
        <w:spacing w:line="240" w:lineRule="auto"/>
        <w:ind w:left="720"/>
      </w:pPr>
      <w:r/>
      <w:hyperlink r:id="rId15">
        <w:r>
          <w:rPr>
            <w:color w:val="0000EE"/>
            <w:u w:val="single"/>
          </w:rPr>
          <w:t>https://www.fieldfisher.com/en/insights/fieldfisher-commits-to-a-long-term-lease-on-its-lo</w:t>
        </w:r>
      </w:hyperlink>
      <w:r>
        <w:t xml:space="preserve"> - Fieldfisher’s announcement on its London headquarters lease confirms a long‑term extension at Riverbank House, 2 Swan Lane, and sets out plans to pursue an ambitious refurbishment of its existing space. The release explains that the firm has signed to remain at the building until 2035, occupying circa 81,000 sq ft, and states that the refurbishment will prioritise sustainability, collaboration and modern working. Managing partner Robert Shooter is quoted on the strategic importance of the London hub and the wider pattern of property investments across Vienna, Dublin, Hamburg and Berlin, supporting the article’s claim about a forthcoming London headquarters refurbishment.</w:t>
      </w:r>
      <w:r/>
    </w:p>
    <w:p>
      <w:pPr>
        <w:pStyle w:val="ListNumber"/>
        <w:spacing w:line="240" w:lineRule="auto"/>
        <w:ind w:left="720"/>
      </w:pPr>
      <w:r/>
      <w:hyperlink r:id="rId11">
        <w:r>
          <w:rPr>
            <w:color w:val="0000EE"/>
            <w:u w:val="single"/>
          </w:rPr>
          <w:t>https://www.globallegalpost.com/news/fieldfisher-names-new-senior-partner-1875147056</w:t>
        </w:r>
      </w:hyperlink>
      <w:r>
        <w:t xml:space="preserve"> - This Global Legal Post piece reports senior leadership changes at Fieldfisher and places them in the context of the firm’s European expansion strategy. The article describes Fieldfisher’s relaunch of its Italian operation as an integrated part of the network following an earlier split from its former Italian verein partner, and it notes recent openings and hires in Austria and other European jurisdictions. It cites turnover and profit‑per‑partner figures reported in earlier financial announcements and quotes management on the strategic intent to become a leading European firm, thereby supporting the article’s claims about structural network changes and continental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fieldfisher-reports-marginal-revenue-rise-amid-europe-changes/5124202.article" TargetMode="External"/><Relationship Id="rId10" Type="http://schemas.openxmlformats.org/officeDocument/2006/relationships/hyperlink" Target="https://www.fieldfisher.com/en/insights/fieldfisher-delivers-strong-financial-results-with-double-digit-revenue-growth-in-2023-2024" TargetMode="External"/><Relationship Id="rId11" Type="http://schemas.openxmlformats.org/officeDocument/2006/relationships/hyperlink" Target="https://www.globallegalpost.com/news/fieldfisher-names-new-senior-partner-1875147056" TargetMode="External"/><Relationship Id="rId12" Type="http://schemas.openxmlformats.org/officeDocument/2006/relationships/hyperlink" Target="https://www.fieldfisher.com/en/locations" TargetMode="External"/><Relationship Id="rId13" Type="http://schemas.openxmlformats.org/officeDocument/2006/relationships/hyperlink" Target="https://www.fieldfisher.com/en/insights/state-of-the-art-new-hamburg-office-reveals-confident-outlook-at-fieldfisher" TargetMode="External"/><Relationship Id="rId14" Type="http://schemas.openxmlformats.org/officeDocument/2006/relationships/hyperlink" Target="https://www.fieldfisher.com/en/insights/fieldfisher-announces-location-of-new-birmingham-office" TargetMode="External"/><Relationship Id="rId15" Type="http://schemas.openxmlformats.org/officeDocument/2006/relationships/hyperlink" Target="https://www.fieldfisher.com/en/insights/fieldfisher-commits-to-a-long-term-lease-on-its-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