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Merger whispers and creative investment mark a pivotal week for UK agencies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Campaign’s weekly roundup has lifted three agencies into the spotlight this week — MSQ Partners, Uncommon Creative Studio and Dentsu Creative — each for very different reasons: a flurry of merger speculation, a striking retail campaign and senior creative leadership that signals continued investment in regional capability. According to Campaign, the selection reflects both the news cycle and the creative work shaping client conversations across the UK market.</w:t>
      </w:r>
      <w:r/>
    </w:p>
    <w:p>
      <w:r/>
      <w:r>
        <w:t>The biggest headlines centred on talk of a possible tie‑up between MSQ and Sir Martin Sorrell’s S4 Capital. Reuters reported that MSQ has formally denied any board‑level discussions and said its directors had not considered a merger proposal; the company suggested any contact may have been between its majority owner, One Equity Partners, and S4. Adweek corroborated MSQ’s statement and noted S4 itself confirmed very preliminary conversations, while market reaction saw S4’s shares tick higher on the speculation. Industry observers have pointed to MSQ’s roster — which includes Unilever, Haleon, P&amp;G and Lego — as the reason the rumour attracted attention. According to the reports, however, there is no certainty any transaction will proceed.</w:t>
      </w:r>
      <w:r/>
    </w:p>
    <w:p>
      <w:r/>
      <w:r>
        <w:t>Those reports land against a backdrop of pressure on S4’s recent performance. The group’s interim results, republished on Investegate, showed a challenging first half with net revenue down to £376.1 million, operational EBITDA reduced to £30.1 million and an operating loss of £3.7 million; headcount was trimmed to roughly 7,553 people, around a 12% fall year‑on‑year. Sir Martin Sorrell is quoted in the company statement emphasising a continued strategic focus on AI opportunities and margin recovery, and noting that performance is typically stronger in the second half. Commentators have also flagged weakened tech client spend as a factor weighing on S4’s near‑term forecasts.</w:t>
      </w:r>
      <w:r/>
    </w:p>
    <w:p>
      <w:r/>
      <w:r>
        <w:t>On the creative front, Uncommon Creative Studio’s new work for B&amp;Q caught attention for its bold visual language. LBBOnline described an out‑of‑home campaign that personifies DIY doubts through dramatically cropped close‑ups of tools, paired with encouraging copy and strong orange art direction; the executions run across DOOH, TV and VOD and were photographed by James Day. The work aims to energise customers with a “you can do it” tone, making intimidating tools feel surmountable. Separately, Leo Burnett’s case study for B&amp;Q — which Leo Burnett published to outline its own ‘Prices Nailed’ films and identity treatments — shows that the retailer is investing in multiple creative partners to reinforce price messaging and cinematic craft across channels. Taken together, the activity underlines how major retail clients are deploying distinct creative strands to reach different parts of the customer journey.</w:t>
      </w:r>
      <w:r/>
    </w:p>
    <w:p>
      <w:r/>
      <w:r>
        <w:t>Finally, Dentsu’s creative leadership landscape was highlighted by the firm’s profile of Ete Davies as EVP, Dentsu Creative EMEA. The biography presents Davies as a senior operational and creative leader charged with raising creative standards across the region, supporting integration and inclusion objectives and driving agency performance improvements; it also references his previous roles at AKQA, AnalogFolk and Engine Creative. Dentsu’s positioning of senior creative talent and the continued reshuffle of leadership across networks is consistent with broader industry imperatives: tighter margins, client consolidation and a premium on integrated, diverse creative capability.</w:t>
      </w:r>
      <w:r/>
    </w:p>
    <w:p>
      <w:r/>
      <w:r>
        <w:t>Taken together, the items that made this week’s agenda illustrate two parallel currents in the agency market: strategic consolidation chatter and earnings volatility at the large network level, and — at the same time — sustained investment by advertisers in distinctive creative work and senior creative hires. According to the original reports, those twin dynamics are likely to keep agencies, their owners and their clients under scrutiny as the year progresses.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https://www.campaignlive.co.uk/article/agencies-agenda-msq-s4-capital-uncommon-creative-studio-dentsu-group/1929094</w:t>
        </w:r>
      </w:hyperlink>
      <w:r>
        <w:t xml:space="preserve"> - Please view link - unable to able to access data</w:t>
      </w:r>
      <w:r/>
    </w:p>
    <w:p>
      <w:pPr>
        <w:pStyle w:val="ListNumber"/>
        <w:spacing w:line="240" w:lineRule="auto"/>
        <w:ind w:left="720"/>
      </w:pPr>
      <w:r/>
      <w:hyperlink r:id="rId10">
        <w:r>
          <w:rPr>
            <w:color w:val="0000EE"/>
            <w:u w:val="single"/>
          </w:rPr>
          <w:t>https://www.reuters.com/markets/deals/marketing-agency-msq-rules-out-potential-merger-with-sorrells-s4-capital-2025-08-14/</w:t>
        </w:r>
      </w:hyperlink>
      <w:r>
        <w:t xml:space="preserve"> - Reuters reports that MSQ Partners has formally ruled out any potential merger with Sir Martin Sorrell’s S4 Capital, saying its board was not involved in discussions and that any talks may have been between representatives of its majority owner, One Equity Partners, and S4. The piece notes S4 had confirmed very preliminary discussions and that there is no certainty a transaction will occur. It explains S4 was founded in 2018 by Martin Sorrell and lists MSQ’s client roster including Unilever, Haleon, P&amp;G and Lego, underscoring MSQ’s scale and the rationale for public interest in the rumoured approach. Reported by Reuters.</w:t>
      </w:r>
      <w:r/>
    </w:p>
    <w:p>
      <w:pPr>
        <w:pStyle w:val="ListNumber"/>
        <w:spacing w:line="240" w:lineRule="auto"/>
        <w:ind w:left="720"/>
      </w:pPr>
      <w:r/>
      <w:hyperlink r:id="rId11">
        <w:r>
          <w:rPr>
            <w:color w:val="0000EE"/>
            <w:u w:val="single"/>
          </w:rPr>
          <w:t>https://www.adweek.com/agencies/msq-partners-rebuffs-any-potential-merger-talks-with-s4-capital/</w:t>
        </w:r>
      </w:hyperlink>
      <w:r>
        <w:t xml:space="preserve"> - Adweek covers MSQ Partners’ denial that it has been involved in merger talks with S4 Capital, citing a statement in which MSQ says its board had not considered any proposal and that discussions, if held, were between One Equity Partners and S4 rather than MSQ itself. The article records S4’s own confirmation that talks were at a very preliminary stage and notes market reaction, with S4 shares rising on the news. It summarises S4’s rapid expansion since 2018 under Sir Martin Sorrell and highlights the context of weakened tech client spend weighing on S4’s forecasts. Reported by Adweek online today.</w:t>
      </w:r>
      <w:r/>
    </w:p>
    <w:p>
      <w:pPr>
        <w:pStyle w:val="ListNumber"/>
        <w:spacing w:line="240" w:lineRule="auto"/>
        <w:ind w:left="720"/>
      </w:pPr>
      <w:r/>
      <w:hyperlink r:id="rId12">
        <w:r>
          <w:rPr>
            <w:color w:val="0000EE"/>
            <w:u w:val="single"/>
          </w:rPr>
          <w:t>https://www.investegate.co.uk/announcement/rns/s4-capital--sfor/interim-results-for-2024/8424615</w:t>
        </w:r>
      </w:hyperlink>
      <w:r>
        <w:t xml:space="preserve"> - Investegate republishes S4 Capital’s interim results statement, detailing a challenging first half marked by falling revenues and reduced headcount. Net revenue fell to £376.1 million for the six months, operational EBITDA declined to £30.1 million, and the group recorded an operating loss of £3.7m. The announcement notes a reduction in Monks staff to about 7,553, around a 12% decrease year‑on‑year, reflecting active cost management. Sir Martin Sorrell emphasised the business remains focused on AI opportunities, margin improvement and that performance is typically second‑half weighted, while reiterating confidence in the company’s long‑term strategy. The statement was published on Investegate today online.</w:t>
      </w:r>
      <w:r/>
    </w:p>
    <w:p>
      <w:pPr>
        <w:pStyle w:val="ListNumber"/>
        <w:spacing w:line="240" w:lineRule="auto"/>
        <w:ind w:left="720"/>
      </w:pPr>
      <w:r/>
      <w:hyperlink r:id="rId13">
        <w:r>
          <w:rPr>
            <w:color w:val="0000EE"/>
            <w:u w:val="single"/>
          </w:rPr>
          <w:t>https://www.lbbonline.com/news/bq-silences-diy-doubt-in-striking-ooh-campaign/</w:t>
        </w:r>
      </w:hyperlink>
      <w:r>
        <w:t xml:space="preserve"> - LBBOnline describes Uncommon Creative Studio’s out‑of‑home campaign for B&amp;Q, which revives the retailer’s ‘You Can Do It’ message. The work uses dramatic close‑ups of DIY tools styled to symbolise customers’ doubts, paired with hopeful copy to empower action. Photographed by James Day, the striking executions run across DOOH, TV and VOD and lean on bold orange art direction. The creative aims to make tools appear imposing yet surmountable, encouraging people to tackle home projects. Credits mention media handled by a planning partner and note the integrated campaign will run nationally over several months. The article includes campaign visuals and credits.</w:t>
      </w:r>
      <w:r/>
    </w:p>
    <w:p>
      <w:pPr>
        <w:pStyle w:val="ListNumber"/>
        <w:spacing w:line="240" w:lineRule="auto"/>
        <w:ind w:left="720"/>
      </w:pPr>
      <w:r/>
      <w:hyperlink r:id="rId14">
        <w:r>
          <w:rPr>
            <w:color w:val="0000EE"/>
            <w:u w:val="single"/>
          </w:rPr>
          <w:t>https://leoburnett.co.uk/prices-nailed/</w:t>
        </w:r>
      </w:hyperlink>
      <w:r>
        <w:t xml:space="preserve"> - Leo Burnett’s case study page details the B&amp;Q ‘Prices Nailed’ campaign created after the agency was appointed creative lead. The integrated work features two 40‑second films and a bold visual language that elevates everyday DIY tasks through macro cinematography, transitioning to relatable British home scenes. The agency introduced a refreshed identity device using B&amp;Q’s ampersand to signify ‘more’, applied across OOH, press, digital and in‑store. The page highlights media placements including prominent outdoor sites and credits the creative craft, noting the campaign aims to reinforce B&amp;Q’s commitment to low prices and practical, cinematic storytelling. The launch received coverage and praise.</w:t>
      </w:r>
      <w:r/>
    </w:p>
    <w:p>
      <w:pPr>
        <w:pStyle w:val="ListNumber"/>
        <w:spacing w:line="240" w:lineRule="auto"/>
        <w:ind w:left="720"/>
      </w:pPr>
      <w:r/>
      <w:hyperlink r:id="rId15">
        <w:r>
          <w:rPr>
            <w:color w:val="0000EE"/>
            <w:u w:val="single"/>
          </w:rPr>
          <w:t>https://www.dentsu.com/who-we-are/emea-leadership/ete-davies</w:t>
        </w:r>
      </w:hyperlink>
      <w:r>
        <w:t xml:space="preserve"> - Dentsu’s leadership profile outlines Ete Davies as EVP, Dentsu Creative EMEA, describing his remit to drive creative operational excellence across the region and support integration and diversity objectives. The biography charts Davies’s career at AKQA and AnalogFolk and his recent role as CEO of Engine Creative, noting his contribution to the acclaimed ‘Long Live the Prince’ campaign. The page emphasises his track record in transforming agency performance, building inclusive cultures and his engagement with RDEI initiatives. It presents Davies as a senior operational and creative leader tasked with strengthening Dentsu’s creative capabilities across multiple EMEA markets. The profile is authoritative.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agencies-agenda-msq-s4-capital-uncommon-creative-studio-dentsu-group/1929094" TargetMode="External"/><Relationship Id="rId10" Type="http://schemas.openxmlformats.org/officeDocument/2006/relationships/hyperlink" Target="https://www.reuters.com/markets/deals/marketing-agency-msq-rules-out-potential-merger-with-sorrells-s4-capital-2025-08-14/" TargetMode="External"/><Relationship Id="rId11" Type="http://schemas.openxmlformats.org/officeDocument/2006/relationships/hyperlink" Target="https://www.adweek.com/agencies/msq-partners-rebuffs-any-potential-merger-talks-with-s4-capital/" TargetMode="External"/><Relationship Id="rId12" Type="http://schemas.openxmlformats.org/officeDocument/2006/relationships/hyperlink" Target="https://www.investegate.co.uk/announcement/rns/s4-capital--sfor/interim-results-for-2024/8424615" TargetMode="External"/><Relationship Id="rId13" Type="http://schemas.openxmlformats.org/officeDocument/2006/relationships/hyperlink" Target="https://www.lbbonline.com/news/bq-silences-diy-doubt-in-striking-ooh-campaign/" TargetMode="External"/><Relationship Id="rId14" Type="http://schemas.openxmlformats.org/officeDocument/2006/relationships/hyperlink" Target="https://leoburnett.co.uk/prices-nailed/" TargetMode="External"/><Relationship Id="rId15" Type="http://schemas.openxmlformats.org/officeDocument/2006/relationships/hyperlink" Target="https://www.dentsu.com/who-we-are/emea-leadership/ete-dav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