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Point 41 Capital Partners exceeds target with $400 million inaugural fund amid vibrant private equity activity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Point 41 Capital Partners has successfully closed its inaugural fund, Point 41 Capital Partners I, securing $400 million in commitments and surpassing its initial $300 million target. This middle-market private equity fund focuses on North American companies with enterprise values ranging from $50 million to $350 million. It primarily targets founder- and family-owned businesses as well as corporate carve-outs within specialty industrial and service sectors. Investors in the fund include a diverse group comprising endowments, insurance companies, funds-of-funds, family offices, and high-net-worth individuals. The fund's strategy aims to leverage its capital to support growth and operational enhancements in these middle-market enterprises, which are often underrepresented in the broader private equity space.</w:t>
      </w:r>
      <w:r/>
    </w:p>
    <w:p>
      <w:r/>
      <w:r>
        <w:t>In related private equity activity, Onex Partners has agreed to acquire Integrated Specialty Coverages (ISC), an insurtech platform that designs, underwrites, and distributes bespoke insurance solutions, from KKR. KKR had initially invested in ISC in 2021, bolstering the company’s growth through investments in technology, data capabilities, and the establishment of a national sales and marketing team. This sale marks a significant exit for KKR, reflecting the increasing investor interest in technology-driven insurance platforms. All employees of ISC are set to receive cash payouts on their ownership stakes, although specific terms and closing dates of the transaction remain undisclosed.</w:t>
      </w:r>
      <w:r/>
    </w:p>
    <w:p>
      <w:r/>
      <w:r>
        <w:t>Meanwhile, funding momentum continues across various sectors. Castleforge Partners has launched its Special Opportunities Fund, Castleforge Partners V, with an initial commitment of £150 million (approximately $203 million) from Conversant Capital. The fund targets Central London office assets and plans to deploy over £1 billion ($1.35 billion) in asset value through acquisitions and structured capital solutions, spanning equity, credit positions, and joint ventures.</w:t>
      </w:r>
      <w:r/>
    </w:p>
    <w:p>
      <w:r/>
      <w:r>
        <w:t>In healthcare innovation, T.Rx Capital closed its inaugural fund at $77.5 million to invest in early-stage companies operating at the intersection of technology and biology. The fund’s investors include institutional allocators, family offices, and founders from prominent venture firms globally, underpinning its broad-based support to fuel advancements in biotechnology and tech-enabled healthcare services.</w:t>
      </w:r>
      <w:r/>
    </w:p>
    <w:p>
      <w:r/>
      <w:r>
        <w:t>EV Realty also secured a $75 million growth equity commitment from NGP, with additional contributions from its management team, to expand its Powered Properties portfolio. This includes the development of a 76-stall fast-charging hub for commercial fleets in San Bernardino, California, capable of servicing over 200 Class 8 trucks daily. EV Realty provides turnkey electric vehicle charging solutions tailored for commercial trucking fleets, indicating growing infrastructure investment aligned with EV adoption trends.</w:t>
      </w:r>
      <w:r/>
    </w:p>
    <w:p>
      <w:r/>
      <w:r>
        <w:t>Additional strategic investments in technology sectors include Vista Equity Partners’ undisclosed investment in AKUVO, aimed at accelerating the company’s AI-driven efforts in collections and credit risk management for financial institutions, and BRV Capital’s funding for Zettabyte, which will support the launch of a next-generation AI data centre initiative focusing on GPU infrastructure solutions globally.</w:t>
      </w:r>
      <w:r/>
    </w:p>
    <w:p>
      <w:r/>
      <w:r>
        <w:t>This flurry of transactions and fund closings illustrates a vibrant private capital landscape, with significant capital flowing into technology-driven insurance, healthcare innovation, real estate, and sustainable infrastructure. Investors appear particularly focused on specialised sectors and emerging technologies, backing growth through both private equity and venture capital deployments.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https://www.alternativeswatch.com/2025/09/18/point-41-raises-400-million-inaugural-middle-market-fund-kkr-exit-insurtech-platform/</w:t>
        </w:r>
      </w:hyperlink>
      <w:r>
        <w:t xml:space="preserve"> - Please view link - unable to able to access data</w:t>
      </w:r>
      <w:r/>
    </w:p>
    <w:p>
      <w:pPr>
        <w:pStyle w:val="ListNumber"/>
        <w:spacing w:line="240" w:lineRule="auto"/>
        <w:ind w:left="720"/>
      </w:pPr>
      <w:r/>
      <w:hyperlink r:id="rId9">
        <w:r>
          <w:rPr>
            <w:color w:val="0000EE"/>
            <w:u w:val="single"/>
          </w:rPr>
          <w:t>https://www.alternativeswatch.com/2025/09/18/point-41-raises-400-million-inaugural-middle-market-fund-kkr-exit-insurtech-platform/</w:t>
        </w:r>
      </w:hyperlink>
      <w:r>
        <w:t xml:space="preserve"> - Point 41 Capital Partners has successfully closed its inaugural fund, Point 41 Capital Partners I, with commitments totaling $400 million, surpassing its initial target of $300 million. The fund's investors include endowments, insurance companies, funds-of-funds, family offices, and high-net-worth individuals. It focuses on North American companies with enterprise values between $50 million and $350 million, particularly targeting founder- and family-owned businesses and corporate carve-outs in specialty industrial and service sectors.</w:t>
      </w:r>
      <w:r/>
    </w:p>
    <w:p>
      <w:pPr>
        <w:pStyle w:val="ListNumber"/>
        <w:spacing w:line="240" w:lineRule="auto"/>
        <w:ind w:left="720"/>
      </w:pPr>
      <w:r/>
      <w:hyperlink r:id="rId10">
        <w:r>
          <w:rPr>
            <w:color w:val="0000EE"/>
            <w:u w:val="single"/>
          </w:rPr>
          <w:t>https://www.onex.com/press-releases/onex-partners-to-acquire-integrated-specialty-coverages-from-kkr/</w:t>
        </w:r>
      </w:hyperlink>
      <w:r>
        <w:t xml:space="preserve"> - Onex Partners has announced its agreement to acquire Integrated Specialty Coverages (ISC), a technology-driven insurance platform that designs, underwrites, and distributes insurance solutions, from KKR. KKR initially invested in ISC in 2021, supporting its growth through investments in technology and data, as well as the formation of a national sales and marketing team. The terms and expected closing date of the transaction have not been disclosed.</w:t>
      </w:r>
      <w:r/>
    </w:p>
    <w:p>
      <w:pPr>
        <w:pStyle w:val="ListNumber"/>
        <w:spacing w:line="240" w:lineRule="auto"/>
        <w:ind w:left="720"/>
      </w:pPr>
      <w:r/>
      <w:hyperlink r:id="rId11">
        <w:r>
          <w:rPr>
            <w:color w:val="0000EE"/>
            <w:u w:val="single"/>
          </w:rPr>
          <w:t>https://www.castleforge.com/press-releases/castleforge-partners-launches-special-opportunities-fund-with-150-million-commitment-from-conversant-capital/</w:t>
        </w:r>
      </w:hyperlink>
      <w:r>
        <w:t xml:space="preserve"> - Castleforge Partners has launched Castleforge Partners V (Special Opportunities Fund), a new vehicle aimed at investing in Central London office assets through acquisitions and structured capital solutions. Conversant Capital has committed an initial £150 million ($203 million) to the fund. The fund is expected to deploy over £1 billion ($1.35 billion) in total asset value over several years, investing across the capital structure, including equity, credit positions, and joint ventures.</w:t>
      </w:r>
      <w:r/>
    </w:p>
    <w:p>
      <w:pPr>
        <w:pStyle w:val="ListNumber"/>
        <w:spacing w:line="240" w:lineRule="auto"/>
        <w:ind w:left="720"/>
      </w:pPr>
      <w:r/>
      <w:hyperlink r:id="rId12">
        <w:r>
          <w:rPr>
            <w:color w:val="0000EE"/>
            <w:u w:val="single"/>
          </w:rPr>
          <w:t>https://www.trxcapital.com/press-releases/trx-capital-closes-77-5-million-inaugural-healthcare-fund/</w:t>
        </w:r>
      </w:hyperlink>
      <w:r>
        <w:t xml:space="preserve"> - T.Rx Capital has closed its first fund, T.Rx Capital Fund I, at $77.5 million. The fund aims to invest in early-stage healthcare innovation at the intersection of technology and biology, including biotechnology and tech-enabled services. Investors in the fund include institutional allocators, family offices, high-net-worth individuals, and founders from firms such as Polaris Partners, Lux Capital, Third Rock Ventures, and ARCH Venture Partners across North America, Europe, the Middle East, and Asia.</w:t>
      </w:r>
      <w:r/>
    </w:p>
    <w:p>
      <w:pPr>
        <w:pStyle w:val="ListNumber"/>
        <w:spacing w:line="240" w:lineRule="auto"/>
        <w:ind w:left="720"/>
      </w:pPr>
      <w:r/>
      <w:hyperlink r:id="rId13">
        <w:r>
          <w:rPr>
            <w:color w:val="0000EE"/>
            <w:u w:val="single"/>
          </w:rPr>
          <w:t>https://www.evrealty.com/press-releases/ev-realty-secures-75-million-growth-equity-commitment-from-ngp/</w:t>
        </w:r>
      </w:hyperlink>
      <w:r>
        <w:t xml:space="preserve"> - EV Realty has secured a $75 million growth equity commitment from NGP, with additional contributions from the company’s management team. The funding will support the expansion of EV Realty’s Powered Properties portfolio, including the construction of its first multi-fleet charging project, a 76-stall fast-charging hub for commercial fleets in San Bernardino, California, capable of charging more than 200 Class 8 trucks per day. EV Realty provides turnkey charging solutions for commercial truck fleets.</w:t>
      </w:r>
      <w:r/>
    </w:p>
    <w:p>
      <w:pPr>
        <w:pStyle w:val="ListNumber"/>
        <w:spacing w:line="240" w:lineRule="auto"/>
        <w:ind w:left="720"/>
      </w:pPr>
      <w:r/>
      <w:hyperlink r:id="rId14">
        <w:r>
          <w:rPr>
            <w:color w:val="0000EE"/>
            <w:u w:val="single"/>
          </w:rPr>
          <w:t>https://www.vistaequitypartners.com/press-releases/vista-equity-partners-invests-in-akuvo-to-advance-ai-strategy/</w:t>
        </w:r>
      </w:hyperlink>
      <w:r>
        <w:t xml:space="preserve"> - Vista Equity Partners has made a strategic investment in AKUVO, a technology company focused on collections and credit risk management. The terms of the investment have not been disclosed. The funding will support AKUVO’s AI strategy and efforts to modernize collections and risk management for financial institutions.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ternativeswatch.com/2025/09/18/point-41-raises-400-million-inaugural-middle-market-fund-kkr-exit-insurtech-platform/" TargetMode="External"/><Relationship Id="rId10" Type="http://schemas.openxmlformats.org/officeDocument/2006/relationships/hyperlink" Target="https://www.onex.com/press-releases/onex-partners-to-acquire-integrated-specialty-coverages-from-kkr/" TargetMode="External"/><Relationship Id="rId11" Type="http://schemas.openxmlformats.org/officeDocument/2006/relationships/hyperlink" Target="https://www.castleforge.com/press-releases/castleforge-partners-launches-special-opportunities-fund-with-150-million-commitment-from-conversant-capital/" TargetMode="External"/><Relationship Id="rId12" Type="http://schemas.openxmlformats.org/officeDocument/2006/relationships/hyperlink" Target="https://www.trxcapital.com/press-releases/trx-capital-closes-77-5-million-inaugural-healthcare-fund/" TargetMode="External"/><Relationship Id="rId13" Type="http://schemas.openxmlformats.org/officeDocument/2006/relationships/hyperlink" Target="https://www.evrealty.com/press-releases/ev-realty-secures-75-million-growth-equity-commitment-from-ngp/" TargetMode="External"/><Relationship Id="rId14" Type="http://schemas.openxmlformats.org/officeDocument/2006/relationships/hyperlink" Target="https://www.vistaequitypartners.com/press-releases/vista-equity-partners-invests-in-akuvo-to-advance-ai-strateg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