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ruling redefines roles of unqualified staff in litigation, prompting legal compliance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week’s High Court ruling in the case of Mazur v Charles Russell Speechlys LLP has sent shockwaves through the English legal profession, with concerns mounting over the operational and compliance ramifications for firms engaged in litigation. The court held firmly that unqualified employees of law firms may support solicitors in conducting litigation but are not permitted to conduct litigation themselves, even under a solicitor’s supervision. This represents a significant departure from longstanding practices, particularly in high-volume or bulk litigation firms where non-admitted staff have often played active roles in case handling.</w:t>
      </w:r>
      <w:r/>
    </w:p>
    <w:p>
      <w:r/>
      <w:r>
        <w:t>Mr Justice Sheldon’s judgment clarifies that while solicitors can be supported by unqualified personnel, the act of conducting litigation is strictly reserved for qualified, authorised legal professionals. The ruling sparked alarm about potential widespread disruption, with industry experts warning law firms to urgently reassess how they supervise and document the conduct of litigation. Paul Bennett, a solicitor advocate involved in the case but speaking in a personal capacity, emphasised that the decision raises a new compliance imperative. Firms must now provide clear evidence of who is undertaking which tasks within litigation teams, particularly in firms heavily reliant on non-admitted staff such as alternative business structures serving volume litigation markets.</w:t>
      </w:r>
      <w:r/>
    </w:p>
    <w:p>
      <w:r/>
      <w:r>
        <w:t>Critics have highlighted that this judgment could lead to significant practical consequences. Stephen Lund, chief executive of housing litigation specialist Antony Hodari, expressed concern over the regulator’s silence, pointing out that the Solicitors Regulation Authority (SRA) had yet to issue guidance despite the judgment’s potential to cause “nationwide disruption.” He warned of wasted costs for solicitors and courts, increased delays for claimants and defendants, and heightened anxiety among legal professionals about their roles and futures.</w:t>
      </w:r>
      <w:r/>
    </w:p>
    <w:p>
      <w:r/>
      <w:r>
        <w:t>Andrew Hogan, a costs barrister, described the ruling as “detonating like a bomb over the profession.” He noted that firms relying on unauthorised personnel to manage litigation steps—such as issuing pleadings or engaging with courts—might now face both operational upheaval and legal challenges. Disputes could arise over the validity of procedural acts taken by unqualified staff in past cases, and opponents in litigation might resist paying costs associated with unauthorised conduct. Hogan fears that unless delegation of tasks is properly structured, costs and complexity could substantially increase.</w:t>
      </w:r>
      <w:r/>
    </w:p>
    <w:p>
      <w:r/>
      <w:r>
        <w:t>The decision also touches on broader access to justice concerns. Iain Miller, a regulatory partner and legal services expert, noted that tighter restrictions on the roles non-authorised individuals can play will likely increase litigation costs and constrain firms’ supervisory models. He pointed out that unlike probate or conveyancing—where the Legal Services Act expressly allows non-admitted persons to conduct reserved activities under regulated supervision—no such exemption exists for litigation, complicating compliance for firms.</w:t>
      </w:r>
      <w:r/>
    </w:p>
    <w:p>
      <w:r/>
      <w:r>
        <w:t>Within law firms, questions have arisen around training models for aspiring solicitors. Mark Aspin, a head of dispute resolution, reflected on how trainee solicitors and apprentices have traditionally been given their own cases to manage under close supervision as part of their learning process. The ruling, however, may now prohibit this approach, as even closely supervised involvement is deemed to be "conducting litigation." His comments underline the tension between regulatory compliance and professional development pathways.</w:t>
      </w:r>
      <w:r/>
    </w:p>
    <w:p>
      <w:r/>
      <w:r>
        <w:t>Regulatory and professional bodies are anticipated to respond soon. The SRA acknowledged it is reviewing the judgment, but has yet to offer detailed guidance. Legal commentators suggest that clear, authoritative directions from the regulator will be essential to help firms navigate these complex waters.</w:t>
      </w:r>
      <w:r/>
    </w:p>
    <w:p>
      <w:r/>
      <w:r>
        <w:t>This ruling, by reaffirming a strict interpretation of the Legal Services Act 2007, has forced the profession to confront the fine line between support roles and litigation conduct. It compels law firms to thoroughly document and possibly re-engineer their supervision structures to ensure compliance and mitigate risks. At the same time, it raises important questions about the future of litigation workflows, the cost implications for clients, and the ongoing challenge of maintaining access to justice in a regulated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https://www.legalfutures.co.uk/latest-news/alarm-over-high-court-bomb-on-conduct-of-litigation</w:t>
        </w:r>
      </w:hyperlink>
      <w:r>
        <w:t xml:space="preserve"> - Please view link - unable to able to access data</w:t>
      </w:r>
      <w:r/>
    </w:p>
    <w:p>
      <w:pPr>
        <w:pStyle w:val="ListNumber"/>
        <w:spacing w:line="240" w:lineRule="auto"/>
        <w:ind w:left="720"/>
      </w:pPr>
      <w:r/>
      <w:hyperlink r:id="rId9">
        <w:r>
          <w:rPr>
            <w:color w:val="0000EE"/>
            <w:u w:val="single"/>
          </w:rPr>
          <w:t>https://www.legalfutures.co.uk/latest-news/alarm-over-high-court-bomb-on-conduct-of-litigation</w:t>
        </w:r>
      </w:hyperlink>
      <w:r>
        <w:t xml:space="preserve"> - The High Court's recent ruling in Mazur v Charles Russell Speechlys has significant implications for the legal profession. The court determined that unqualified employees of law firms can support solicitors in conducting litigation but cannot conduct litigation themselves under supervision. This decision has raised concerns about potential nationwide disruption, prompting firms to reassess their supervision practices. Experts suggest that law firms should document their compliance strategies and anticipate forthcoming guidance from regulatory bodies like the Solicitors Regulation Authority (SRA).</w:t>
      </w:r>
      <w:r/>
    </w:p>
    <w:p>
      <w:pPr>
        <w:pStyle w:val="ListNumber"/>
        <w:spacing w:line="240" w:lineRule="auto"/>
        <w:ind w:left="720"/>
      </w:pPr>
      <w:r/>
      <w:hyperlink r:id="rId13">
        <w:r>
          <w:rPr>
            <w:color w:val="0000EE"/>
            <w:u w:val="single"/>
          </w:rPr>
          <w:t>https://iclg.com/news/23081-high-court-overturns-costs-order-over-unauthorised-litigation-conduct</w:t>
        </w:r>
      </w:hyperlink>
      <w:r>
        <w:t xml:space="preserve"> - In the case of Mazur &amp; Stuart v Charles Russell Speechlys, the High Court overturned a costs order exceeding £10,000, highlighting the issue of unauthorised litigation conduct. The court ruled that a senior litigation executive without a practising certificate was not entitled to conduct litigation, even under supervision. This decision underscores the importance of adhering to the Legal Services Act 2007, which restricts litigation conduct to authorised individuals, and serves as a cautionary tale for law firms regarding compliance.</w:t>
      </w:r>
      <w:r/>
    </w:p>
    <w:p>
      <w:pPr>
        <w:pStyle w:val="ListNumber"/>
        <w:spacing w:line="240" w:lineRule="auto"/>
        <w:ind w:left="720"/>
      </w:pPr>
      <w:r/>
      <w:hyperlink r:id="rId10">
        <w:r>
          <w:rPr>
            <w:color w:val="0000EE"/>
            <w:u w:val="single"/>
          </w:rPr>
          <w:t>https://costsbarrister.co.uk/access-to-justice/the-end-of-grade-d/</w:t>
        </w:r>
      </w:hyperlink>
      <w:r>
        <w:t xml:space="preserve"> - The High Court's decision in Mazur &amp; Stuart v Charles Russell Speechlys LLP has profound implications for the legal profession. The court held that unqualified employees cannot conduct litigation, even under a solicitor’s supervision. This ruling challenges longstanding practices where unqualified staff, such as grade D fee earners, have been permitted to conduct litigation under supervision. The decision necessitates a reevaluation of operational structures within law firms, particularly those handling low-value claims, to ensure compliance with the Legal Services Act 2007.</w:t>
      </w:r>
      <w:r/>
    </w:p>
    <w:p>
      <w:pPr>
        <w:pStyle w:val="ListNumber"/>
        <w:spacing w:line="240" w:lineRule="auto"/>
        <w:ind w:left="720"/>
      </w:pPr>
      <w:r/>
      <w:hyperlink r:id="rId12">
        <w:r>
          <w:rPr>
            <w:color w:val="0000EE"/>
            <w:u w:val="single"/>
          </w:rPr>
          <w:t>https://forums.moneysavingexpert.com/discussion/6629609/unqualified-staff-at-a-law-firm-are-not-allowed-to-conduct-litigation/p1</w:t>
        </w:r>
      </w:hyperlink>
      <w:r>
        <w:t xml:space="preserve"> - A recent High Court judgment in Mazur &amp; Stuart v Charles Russell Speechlys LLP [2025] EWHC 2341 (KB) has significant implications for the legal profession. The court ruled that unqualified staff at law firms are not permitted to conduct litigation, even under the supervision of a solicitor. This decision challenges existing practices in bulk litigation, where paralegals and unqualified staff have been involved in preparing documents and attending court mediations. The ruling underscores the importance of ensuring that litigation is carried out by qualified and authorised professionals.</w:t>
      </w:r>
      <w:r/>
    </w:p>
    <w:p>
      <w:pPr>
        <w:pStyle w:val="ListNumber"/>
        <w:spacing w:line="240" w:lineRule="auto"/>
        <w:ind w:left="720"/>
      </w:pPr>
      <w:r/>
      <w:hyperlink r:id="rId11">
        <w:r>
          <w:rPr>
            <w:color w:val="0000EE"/>
            <w:u w:val="single"/>
          </w:rPr>
          <w:t>https://www.charlesrussellspeechlys.com/en/insights/expert-insights/dispute-resolution/2023/it-was-a-mistake/</w:t>
        </w:r>
      </w:hyperlink>
      <w:r>
        <w:t xml:space="preserve"> - The High Court's decision in Mazur &amp; Stuart v Charles Russell Speechlys LLP [2025] EWHC 2341 (KB) has significant implications for the legal profession. The court ruled that unqualified employees cannot conduct litigation, even under a solicitor’s supervision. This decision challenges longstanding practices where unqualified staff, such as grade D fee earners, have been permitted to conduct litigation under supervision. The ruling necessitates a reevaluation of operational structures within law firms, particularly those handling low-value claims, to ensure compliance with the Legal Services Act 2007.</w:t>
      </w:r>
      <w:r/>
    </w:p>
    <w:p>
      <w:pPr>
        <w:pStyle w:val="ListNumber"/>
        <w:spacing w:line="240" w:lineRule="auto"/>
        <w:ind w:left="720"/>
      </w:pPr>
      <w:r/>
      <w:hyperlink r:id="rId15">
        <w:r>
          <w:rPr>
            <w:color w:val="0000EE"/>
            <w:u w:val="single"/>
          </w:rPr>
          <w:t>https://www.charlesrussellspeechlys.com/en/insights/expert-insights/dispute-resolution/2023/the-supreme-courts-decision-in-paccar-litigation-funding-stopped-in-its-trucks/</w:t>
        </w:r>
      </w:hyperlink>
      <w:r>
        <w:t xml:space="preserve"> - The Supreme Court's decision in PACCAR has significant implications for litigation funding in the UK. The court observed that most third-party litigation funding agreements (LFAs) would be unenforceable under current law, potentially leading to a radical review of the entire litigation funding sector. This decision could have far-reaching consequences for existing and future funded claims, affecting access to justice and the development of group litigations before English courts. The ruling highlights the need for a comprehensive reassessment of litigation funding practices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latest-news/alarm-over-high-court-bomb-on-conduct-of-litigation" TargetMode="External"/><Relationship Id="rId10" Type="http://schemas.openxmlformats.org/officeDocument/2006/relationships/hyperlink" Target="https://costsbarrister.co.uk/access-to-justice/the-end-of-grade-d/" TargetMode="External"/><Relationship Id="rId11" Type="http://schemas.openxmlformats.org/officeDocument/2006/relationships/hyperlink" Target="https://www.charlesrussellspeechlys.com/en/insights/expert-insights/dispute-resolution/2023/it-was-a-mistake/" TargetMode="External"/><Relationship Id="rId12" Type="http://schemas.openxmlformats.org/officeDocument/2006/relationships/hyperlink" Target="https://forums.moneysavingexpert.com/discussion/6629609/unqualified-staff-at-a-law-firm-are-not-allowed-to-conduct-litigation/p1" TargetMode="External"/><Relationship Id="rId13" Type="http://schemas.openxmlformats.org/officeDocument/2006/relationships/hyperlink" Target="https://iclg.com/news/23081-high-court-overturns-costs-order-over-unauthorised-litigation-conduct" TargetMode="External"/><Relationship Id="rId14" Type="http://schemas.openxmlformats.org/officeDocument/2006/relationships/hyperlink" Target="https://www.noahwire.com" TargetMode="External"/><Relationship Id="rId15" Type="http://schemas.openxmlformats.org/officeDocument/2006/relationships/hyperlink" Target="https://www.charlesrussellspeechlys.com/en/insights/expert-insights/dispute-resolution/2023/the-supreme-courts-decision-in-paccar-litigation-funding-stopped-in-its-tru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