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Neil Jacobs joins Cain International to boost luxury asset growth with strategic advice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Neil Jacobs, founder of the consultancy Wild Origins and former CEO of Six Senses, has been appointed to provide strategic advice to Cain International, a prominent luxury investment platform. Jacobs will lend his expertise across Cain's portfolio of luxury assets, including luxury spa hotels, helping to guide the company’s growth and operational strategies. Wild Origins, Jacobs’ consultancy, specialises in delivering strategic, brand, and marketing development advice, as well as financial, operational, and sustainability planning for clients across various sectors including hospitality, wellness, residential, and sustainable development.</w:t>
      </w:r>
      <w:r/>
    </w:p>
    <w:p>
      <w:r/>
      <w:r>
        <w:t>Cain International, established in 2014, is a privately held investment firm managing over $17 billion in assets as of mid-2024, following a merger with Blackbrook Capital earlier this year which expanded the firm's reach in European alternative markets. The company operates across the US, Europe, and the UK, deploying capital in real estate equity, credit, and experiential businesses. Its portfolio is diversified across residential, hospitality, commercial, and mixed-use developments, including strategic investments in leading lifestyle and entertainment brands.</w:t>
      </w:r>
      <w:r/>
    </w:p>
    <w:p>
      <w:r/>
      <w:r>
        <w:t>Cain’s luxury portfolio features assets in major global markets such as Miami, New York City, Beverly Hills, London, and the French ski resort Courchevel 1850, including the 51-key Six Senses Residences Courchevel. The firm has established partnerships with top-tier hospitality brands such as Aman, Delano, Raffles, Six Senses, Soho House, and Rosewood Hotel Group, underlining its commitment to premium lifestyle investments. Cain’s CEO and co-founder Jonathan Goldstein, who also serves on the boards of Aman, Delano, and the wellness club The St James, highlighted Jacobs’ valuable industry experience, stating that his leadership in launching and managing renowned hotel brands would provide Cain with a significant advantage as it continues to expand its luxury investment platform.</w:t>
      </w:r>
      <w:r/>
    </w:p>
    <w:p>
      <w:r/>
      <w:r>
        <w:t>The firm continues to grow through strategic acquisitions and developments. Recent activities include the acquisition of a portfolio of US real estate construction loans in New York worth over $1.2 billion, focused on multifamily and student housing developments, and the purchase of a prime brownfield logistics site in Germany slated for redevelopment into Grade A logistics space, reflecting Cain’s diverse investment strategy across different sectors and geographies. Additionally, Cain completed a £500 million forward-funding deal to support purpose-built student accommodation projects in the UK, indicating its active involvement in expanding its residential assets.</w:t>
      </w:r>
      <w:r/>
    </w:p>
    <w:p>
      <w:r/>
      <w:r>
        <w:t>Jacobs expressed enthusiasm about joining Cain International, recognising the platform's blend of ambition and quality. His consultancy, Wild Origins, also advises other key hospitality players, including Singapore-based Capella Hotel Group, further cementing its influence within the luxury hospitality sector. With Jacobs’ appointment, Cain aims to enhance its development expertise with operational insights that align with evolving market demands, ensuring sustained growth in the competitive luxury real estate and hospitality arenas.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https://www.spabusiness.com/wellness-news/Neil-Jacobs-Wild-Origins-firm-to-consult-on-growth-of-Cain-Internationals-luxury-investment-platform/358336</w:t>
        </w:r>
      </w:hyperlink>
      <w:r>
        <w:t xml:space="preserve"> - Please view link - unable to able to access data</w:t>
      </w:r>
      <w:r/>
    </w:p>
    <w:p>
      <w:pPr>
        <w:pStyle w:val="ListNumber"/>
        <w:spacing w:line="240" w:lineRule="auto"/>
        <w:ind w:left="720"/>
      </w:pPr>
      <w:r/>
      <w:hyperlink r:id="rId10">
        <w:r>
          <w:rPr>
            <w:color w:val="0000EE"/>
            <w:u w:val="single"/>
          </w:rPr>
          <w:t>https://www.cainint.com/about</w:t>
        </w:r>
      </w:hyperlink>
      <w:r>
        <w:t xml:space="preserve"> - Cain International is a privately held investment firm operating in the United Kingdom, Europe, and the United States. Founded in 2014, the firm invests in real estate credit, equity, and experiential businesses, currently managing over $16 billion in assets as of 30 June 2024. Their portfolio spans residential, hospitality, commercial, mixed-use developments, and leading brands. The firm is a partnership between CEO Jonathan Goldstein and Eldridge Industries.</w:t>
      </w:r>
      <w:r/>
    </w:p>
    <w:p>
      <w:pPr>
        <w:pStyle w:val="ListNumber"/>
        <w:spacing w:line="240" w:lineRule="auto"/>
        <w:ind w:left="720"/>
      </w:pPr>
      <w:r/>
      <w:hyperlink r:id="rId12">
        <w:r>
          <w:rPr>
            <w:color w:val="0000EE"/>
            <w:u w:val="single"/>
          </w:rPr>
          <w:t>https://www.cainint.com/about-cain</w:t>
        </w:r>
      </w:hyperlink>
      <w:r>
        <w:t xml:space="preserve"> - Cain International is an alternative asset manager specialising in real estate investment solutions. As of 31 March 2025, the firm held $13.6 billion in assets under management across the UK, Europe, and the US. Its global portfolio spans a diverse range of sectors, with a focus on residential, hospitality, commercial, mixed-use developments, and leading brands. The firm is a partnership between CEO Jonathan Goldstein and Eldridge Industries.</w:t>
      </w:r>
      <w:r/>
    </w:p>
    <w:p>
      <w:pPr>
        <w:pStyle w:val="ListNumber"/>
        <w:spacing w:line="240" w:lineRule="auto"/>
        <w:ind w:left="720"/>
      </w:pPr>
      <w:r/>
      <w:hyperlink r:id="rId11">
        <w:r>
          <w:rPr>
            <w:color w:val="0000EE"/>
            <w:u w:val="single"/>
          </w:rPr>
          <w:t>https://www.cainint.com/media-centre/press-releases/cain-announces-merger-with-blackbrook-capital/</w:t>
        </w:r>
      </w:hyperlink>
      <w:r>
        <w:t xml:space="preserve"> - On 1 May 2024, Cain International announced a merger with Blackbrook Capital, expanding their reach across European alternatives markets. The merged entity retained the name Cain International, bringing the combined assets under management to over $17 billion. The teams operate from new global headquarters at 72 Welbeck Street in London. Arvi Luoma, co-founder and CEO of Blackbrook, leads Cain’s European equity investment strategies.</w:t>
      </w:r>
      <w:r/>
    </w:p>
    <w:p>
      <w:pPr>
        <w:pStyle w:val="ListNumber"/>
        <w:spacing w:line="240" w:lineRule="auto"/>
        <w:ind w:left="720"/>
      </w:pPr>
      <w:r/>
      <w:hyperlink r:id="rId13">
        <w:r>
          <w:rPr>
            <w:color w:val="0000EE"/>
            <w:u w:val="single"/>
          </w:rPr>
          <w:t>https://www.cainint.com/media-centre/press-releases/cain-expands-u-s-lending-platform-through-acquisition-of-1-2bn-pacwest-new-york-portfolio/</w:t>
        </w:r>
      </w:hyperlink>
      <w:r>
        <w:t xml:space="preserve"> - On 9 June 2023, Cain International, in partnership with Security Benefit Life Insurance Company, agreed to acquire a portfolio of real estate construction loans from Pacific Western Bank, totaling over $1.2 billion. The diversified portfolio comprises 10 loans in New York, focusing on multifamily and student housing developments, with an aggregate principal balance of approximately $500 million.</w:t>
      </w:r>
      <w:r/>
    </w:p>
    <w:p>
      <w:pPr>
        <w:pStyle w:val="ListNumber"/>
        <w:spacing w:line="240" w:lineRule="auto"/>
        <w:ind w:left="720"/>
      </w:pPr>
      <w:r/>
      <w:hyperlink r:id="rId14">
        <w:r>
          <w:rPr>
            <w:color w:val="0000EE"/>
            <w:u w:val="single"/>
          </w:rPr>
          <w:t>https://www.cainint.com/media-centre/press-releases/cain-expands-european-logistics-portfolio-with-speculative-development-in-germany/</w:t>
        </w:r>
      </w:hyperlink>
      <w:r>
        <w:t xml:space="preserve"> - On 5 March 2025, Cain International announced the acquisition of a prime 86,000 sqm brownfield site in Germany, to be redeveloped into approximately 57,000 sqm of Grade A logistics space built to a DGNB Platinum standard. Construction is scheduled to commence in mid-2026, with project completion targeted for 2027. This acquisition represents Cain’s tenth speculative logistics development in Europe and fourth in Germany.</w:t>
      </w:r>
      <w:r/>
    </w:p>
    <w:p>
      <w:pPr>
        <w:pStyle w:val="ListNumber"/>
        <w:spacing w:line="240" w:lineRule="auto"/>
        <w:ind w:left="720"/>
      </w:pPr>
      <w:r/>
      <w:hyperlink r:id="rId15">
        <w:r>
          <w:rPr>
            <w:color w:val="0000EE"/>
            <w:u w:val="single"/>
          </w:rPr>
          <w:t>https://www.cainint.com/media-centre/press-releases/cain-completes-500m-pbsa-transaction-with-backing-from-menora/</w:t>
        </w:r>
      </w:hyperlink>
      <w:r>
        <w:t xml:space="preserve"> - On 19 September 2023, Cain International completed a £500 million Purpose-Built Student Accommodation (PBSA) forward-funding deal, supporting the delivery of 2,389 beds across major UK university cities. The transaction involved Israeli insurance group Menora Mivtachim Group investing in Cain’s existing UK PBSA platform with developer Fusion Group, alongside a new development partner, Olympian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abusiness.com/wellness-news/Neil-Jacobs-Wild-Origins-firm-to-consult-on-growth-of-Cain-Internationals-luxury-investment-platform/358336" TargetMode="External"/><Relationship Id="rId10" Type="http://schemas.openxmlformats.org/officeDocument/2006/relationships/hyperlink" Target="https://www.cainint.com/about" TargetMode="External"/><Relationship Id="rId11" Type="http://schemas.openxmlformats.org/officeDocument/2006/relationships/hyperlink" Target="https://www.cainint.com/media-centre/press-releases/cain-announces-merger-with-blackbrook-capital/" TargetMode="External"/><Relationship Id="rId12" Type="http://schemas.openxmlformats.org/officeDocument/2006/relationships/hyperlink" Target="https://www.cainint.com/about-cain" TargetMode="External"/><Relationship Id="rId13" Type="http://schemas.openxmlformats.org/officeDocument/2006/relationships/hyperlink" Target="https://www.cainint.com/media-centre/press-releases/cain-expands-u-s-lending-platform-through-acquisition-of-1-2bn-pacwest-new-york-portfolio/" TargetMode="External"/><Relationship Id="rId14" Type="http://schemas.openxmlformats.org/officeDocument/2006/relationships/hyperlink" Target="https://www.cainint.com/media-centre/press-releases/cain-expands-european-logistics-portfolio-with-speculative-development-in-germany/" TargetMode="External"/><Relationship Id="rId15" Type="http://schemas.openxmlformats.org/officeDocument/2006/relationships/hyperlink" Target="https://www.cainint.com/media-centre/press-releases/cain-completes-500m-pbsa-transaction-with-backing-from-menor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