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shift accelerates towards real estate debt amid declining LP equity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institutional investors increasingly diversify their portfolios, limited partners (LPs) have been retreating from the equity segment of commercial real estate (CRE) deals, shifting their focus more toward debt strategies. This trend was underscored at Bisnow’s National Commercial Real Estate Finance Conference in Manhattan, where industry leaders noted a significant repositioning of investment capital within real estate markets. Traditionally, LPs sought stable, predictable returns by investing common equity in joint ventures, but the volatility acer­bated by the pandemic, rising interest rates, and changing market dynamics has led many to reconsider their approach.</w:t>
      </w:r>
      <w:r/>
    </w:p>
    <w:p>
      <w:r/>
      <w:r>
        <w:t>Greystone Capital Advisors President Drew Fletcher explained that many institutional investors have moved toward real estate debt investments, a sector perceived as offering equity-like returns with less risk amid inflationary pressures and market uncertainty. This shift has altered capital structures in deals, often placing more leverage in the hands of developers but granting them greater control to advance projects despite the challenging environment. Data from McKinsey illustrates that prior to the pandemic, allocations to direct real estate equity had nearly doubled from 5% in 2005 to 9% in 2017, as investors chased yield and inflation hedges. However, the market upheaval caused by COVID-19 brought transaction volumes to a near halt and cooled equity participation, even as private equity surged elsewhere.</w:t>
      </w:r>
      <w:r/>
    </w:p>
    <w:p>
      <w:r/>
      <w:r>
        <w:t>The growing appeal of private credit has been one of the most notable evolutions in recent years. According to a survey by Adams Street, 27% of limited partners and financial advisers now see private credit and debt as having the greatest growth opportunity. This has translated into massive fundraising—Cushman &amp; Wakefield reports over $20 billion raised so far in 2025 by private debt funds focused on North American commercial properties, positioning the year to be the second strongest on record. Institutional private debt assets under management topped $1.6 trillion in 2023, with $520 billion in dry powder awaiting deployment, a stark increase from under $600 million a decade ago. This influx reflects the blurred lines between capital sources, with life insurers and private credit firms merging roles and reshaping how capital stacks are constructed.</w:t>
      </w:r>
      <w:r/>
    </w:p>
    <w:p>
      <w:r/>
      <w:r>
        <w:t>While LP equity investors have largely pulled back, the appetite for lending has intensified, with alternative lenders now leading loan closings in recent quarters. CBRE data reveals that alternative lenders accounted for 34% of commercial real estate loan closings in the second quarter of 2025, a figure buoyed by a nearly 90% sequential increase from debt funds alone. Although lending volumes dipped earlier in the year due to volatility, financing amounts rebounded with a 40% year-over-year rise in the same quarter. These trends suggest that while equity capital sits on the sidelines, the debt market is driving deal flow and providing benchmarks for future equity returns.</w:t>
      </w:r>
      <w:r/>
    </w:p>
    <w:p>
      <w:r/>
      <w:r>
        <w:t>Among major players capitalising on this environment is Blackstone, which has strategically expanded its real estate debt portfolio by acquiring nearly $2 billion in CRE loans from Atlantic Union Bankshares. This transaction, advised by Morgan Stanley and assisted by Citigroup and CBRE, enables the bank to reduce its CRE exposure amidst high interest rates and shifting office market dynamics, improving its liquidity and investment capacity. Blackstone’s Real Estate Debt Strategies fund manages $76 billion in assets and recently closed an $8 billion fundraise, indicating strong investor demand for high-yield debt instruments. This fund is active across North America, Europe, and Australia, targeting both loans and existing debt, with a strategic reduction in office property exposure compared to historic levels, driven by shifts in work habits and market recovery patterns in key urban centres like New York and London.</w:t>
      </w:r>
      <w:r/>
    </w:p>
    <w:p>
      <w:r/>
      <w:r>
        <w:t>Industry-wide, there is growing optimism that LP equity capital will begin flowing back as transaction volumes rise and market clarity improves. CBRE’s second-quarter 2025 report noted a 13% year-over-year increase in CRE investment volume, approaching $97 billion, while secondary market activity hit record levels, partly driven by institutional investors selling legacy office assets at discounts to recycle capital. Avison Young Principal Marion Jones highlighted that many institutions are expected to divest office portfolios in favour of redeploying funds into equity positions, signalling a cyclical return to more traditional LP strategies.</w:t>
      </w:r>
      <w:r/>
    </w:p>
    <w:p>
      <w:r/>
      <w:r>
        <w:t>Parallel to these dynamics is the broader institutional shift observed in portfolio allocations. A recent report by Hodes Weill &amp; Associates and Cornell University found that institutions have grown underallocated to real estate, diverging from previous overexposure. There is increased enthusiasm for higher-return real estate strategies, such as value-add and opportunistic investments, and a notable rise in debt allocations—63% of institutions now allocate capital to debt strategies, up from 56% the year prior. This sentiment is echoed in the Pensions &amp; Investments survey, which shows real estate credit assets under management expanding while global real estate equity AUM declined. These patterns underscore a clear preference for debt and hybrid instruments at present, driven by risk-adjusted return considerations amid a complex economic backdrop.</w:t>
      </w:r>
      <w:r/>
    </w:p>
    <w:p>
      <w:r/>
      <w:r>
        <w:t>While some experts speculate that the institutional pullback from LP equity may represent a lasting transformation triggered by the pandemic, others remain confident in the sector’s resilience. Peter Lewis, Chairman and President of Wharton Equity Partners, emphasised that despite competing investment alternatives such as public equities and hedge funds, real estate remains an essential long-term haven. He pointed out that during market downturns, capital typically flows back into real estate, reaffirming its role as a critical asset class over investment cycles.</w:t>
      </w:r>
      <w:r/>
    </w:p>
    <w:p>
      <w:r/>
      <w:r>
        <w:t>In summary, the capital stack in commercial real estate is undergoing significant reconfiguration. Limited partners are currently more concealed in the debt layers, reflecting a strategic pivot towards private credit which is booming amid broader market uncertainty. Meanwhile, developers and sponsors are adapting to higher leverage and new financing sources, with market data and recent large-scale transactions providing the signals for a potential re-entry of LP equity capital as market conditions stabilise and transactional liquidity improves.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https://www.bisnow.com/national/news/capital-markets/how-limited-partners-are-hiding-from-the-capital-stack-131207</w:t>
        </w:r>
      </w:hyperlink>
      <w:r>
        <w:t xml:space="preserve"> - Please view link - unable to able to access data</w:t>
      </w:r>
      <w:r/>
    </w:p>
    <w:p>
      <w:pPr>
        <w:pStyle w:val="ListNumber"/>
        <w:spacing w:line="240" w:lineRule="auto"/>
        <w:ind w:left="720"/>
      </w:pPr>
      <w:r/>
      <w:hyperlink r:id="rId12">
        <w:r>
          <w:rPr>
            <w:color w:val="0000EE"/>
            <w:u w:val="single"/>
          </w:rPr>
          <w:t>https://www.reuters.com/business/finance/blackstone-buys-2-billion-cre-loans-atlantic-union-bankshares-2025-06-26/</w:t>
        </w:r>
      </w:hyperlink>
      <w:r>
        <w:t xml:space="preserve"> - Blackstone has expanded its commercial real estate portfolio by purchasing nearly $2 billion in CRE loans from Atlantic Union Bankshares. This strategic move allows Atlantic Union to reduce its exposure to the volatile CRE market, strained by high interest rates and rising office vacancies due to remote work trends. The proceeds from the sale will help the bank pay down expensive deposits and increase investments in securities. For Blackstone, the acquisition supports its ongoing strategy of capitalizing on banks' retreat from the CRE sector, enabling it to secure high-yield assets. The deal was executed via Blackstone Real Estate Debt Strategies, which manages $76 billion in assets and recently raised $8 billion for a record-setting debt fund. The transaction had notable financial advisors, including Morgan Stanley advising Atlantic Union, and Citigroup Global Markets and CBRE assisting Blackstone. Analysts at Raymond James positively reviewed the sale, reaffirming a strong buy rating on Atlantic Union's stock.</w:t>
      </w:r>
      <w:r/>
    </w:p>
    <w:p>
      <w:pPr>
        <w:pStyle w:val="ListNumber"/>
        <w:spacing w:line="240" w:lineRule="auto"/>
        <w:ind w:left="720"/>
      </w:pPr>
      <w:r/>
      <w:hyperlink r:id="rId13">
        <w:r>
          <w:rPr>
            <w:color w:val="0000EE"/>
            <w:u w:val="single"/>
          </w:rPr>
          <w:t>https://www.reuters.com/business/finance/blackstone-raises-8-bln-latest-real-estate-debt-fund-amid-nascent-sector-2025-03-07/</w:t>
        </w:r>
      </w:hyperlink>
      <w:r>
        <w:t xml:space="preserve"> - Blackstone has successfully raised $8 billion for its latest real estate debt fund, signaling a potential recovery in the property market after challenging years. The fund, named Blackstone Real Estate Debt Strategies V, will be actively involved in North America, Europe, and Australia by making loans and purchasing existing loans. Investors, including Blackstone and wealthy individuals, are increasingly interested in office properties, particularly in New York, where a return to office work is driving market recovery. In Europe, particularly in central London, the high demand for quality office spaces is pushing rents to record levels, although overall office sales remain at a low. Blackstone's office property holdings currently represent less than 2% of their real estate portfolio, compared to over 60% in 2007, reflecting a strategic shift.</w:t>
      </w:r>
      <w:r/>
    </w:p>
    <w:p>
      <w:pPr>
        <w:pStyle w:val="ListNumber"/>
        <w:spacing w:line="240" w:lineRule="auto"/>
        <w:ind w:left="720"/>
      </w:pPr>
      <w:r/>
      <w:hyperlink r:id="rId15">
        <w:r>
          <w:rPr>
            <w:color w:val="0000EE"/>
            <w:u w:val="single"/>
          </w:rPr>
          <w:t>https://www.reuters.com/business/finance/kkr-capital-group-launch-funds-targeting-blend-private-public-credit-2025-04-29/</w:t>
        </w:r>
      </w:hyperlink>
      <w:r>
        <w:t xml:space="preserve"> - KKR and Capital Group have jointly introduced two new investment funds—Capital Group KKR Core Plus+ and Capital Group KKR Multi-Sector+—designed to provide retail investors with access to a mix of public and private credit. These funds will allocate approximately 60% of their assets to public fixed income investments and the remaining 40% to private credit, which has gained popularity as banks reduce their exposure to higher-risk lending. Historically limited to institutional investors, private credit offers diversification benefits due to its relative insulation from public market volatility. With lower minimum investment thresholds starting at $1,000, these funds aim to democratize access to private markets for a broader base of individual investors. KKR’s co-CEOs, Joe Bae and Scott Nuttall, emphasized the goal of making private investments accessible to the 95% of individual investors previously excluded. According to a Moody’s report, the private credit market is projected to grow to $3 trillion by 2028, highlighting significant growth potential in this investment area.</w:t>
      </w:r>
      <w:r/>
    </w:p>
    <w:p>
      <w:pPr>
        <w:pStyle w:val="ListNumber"/>
        <w:spacing w:line="240" w:lineRule="auto"/>
        <w:ind w:left="720"/>
      </w:pPr>
      <w:r/>
      <w:hyperlink r:id="rId10">
        <w:r>
          <w:rPr>
            <w:color w:val="0000EE"/>
            <w:u w:val="single"/>
          </w:rPr>
          <w:t>https://www.businesswire.com/news/home/20241112065724/en/Institutional-Portfolios-Have-Shifted-from-Over--to-Under-allocated-to-Real-Estate-and-Institutions-Increasingly-Optimistic-About-New-Investment-Opportunities-Finds-Hodes-Weill-Associates-and-Cornell-University</w:t>
        </w:r>
      </w:hyperlink>
      <w:r>
        <w:t xml:space="preserve"> - A report by Hodes Weill &amp; Associates and Cornell University reveals that institutional portfolios have shifted from over- to under-allocated to real estate. In 2023, approximately 39% of institutions actively invested in Real Estate Investment Trusts (REITs), with liquidity being the primary consideration for investing. As return expectations have risen, institutions in the Americas and Asia-Pacific regions favour higher-return strategies, including value-add and opportunistic investments. Additionally, 63% of institutions are actively allocating capital to debt strategies, up from 56% in 2023 and 44% in 2022. This trend indicates a growing interest in private credit and debt investments within institutional portfolios.</w:t>
      </w:r>
      <w:r/>
    </w:p>
    <w:p>
      <w:pPr>
        <w:pStyle w:val="ListNumber"/>
        <w:spacing w:line="240" w:lineRule="auto"/>
        <w:ind w:left="720"/>
      </w:pPr>
      <w:r/>
      <w:hyperlink r:id="rId11">
        <w:r>
          <w:rPr>
            <w:color w:val="0000EE"/>
            <w:u w:val="single"/>
          </w:rPr>
          <w:t>https://www.pionline.com/real-estate/real-estate-credit-strategies-alone-showing-aum-growth-pi-survey-shows</w:t>
        </w:r>
      </w:hyperlink>
      <w:r>
        <w:t xml:space="preserve"> - A survey by Pensions &amp; Investments indicates that real estate credit strategies are the only segment showing growth in assets under management. During the 12 months ending June 30, loans increased by 18.9% to $64.1 billion, hybrid debt grew by 7.5% to $10.2 billion, and mortgages ticked up 0.8% to $362 billion. In contrast, global real estate equity fell by 6.2% to $1.31 trillion. This trend highlights a growing preference among investors for debt strategies over equity investments in the real estate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national/news/capital-markets/how-limited-partners-are-hiding-from-the-capital-stack-131207" TargetMode="External"/><Relationship Id="rId10" Type="http://schemas.openxmlformats.org/officeDocument/2006/relationships/hyperlink" Target="https://www.businesswire.com/news/home/20241112065724/en/Institutional-Portfolios-Have-Shifted-from-Over--to-Under-allocated-to-Real-Estate-and-Institutions-Increasingly-Optimistic-About-New-Investment-Opportunities-Finds-Hodes-Weill-Associates-and-Cornell-University" TargetMode="External"/><Relationship Id="rId11" Type="http://schemas.openxmlformats.org/officeDocument/2006/relationships/hyperlink" Target="https://www.pionline.com/real-estate/real-estate-credit-strategies-alone-showing-aum-growth-pi-survey-shows" TargetMode="External"/><Relationship Id="rId12" Type="http://schemas.openxmlformats.org/officeDocument/2006/relationships/hyperlink" Target="https://www.reuters.com/business/finance/blackstone-buys-2-billion-cre-loans-atlantic-union-bankshares-2025-06-26/" TargetMode="External"/><Relationship Id="rId13" Type="http://schemas.openxmlformats.org/officeDocument/2006/relationships/hyperlink" Target="https://www.reuters.com/business/finance/blackstone-raises-8-bln-latest-real-estate-debt-fund-amid-nascent-sector-2025-03-07/"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finance/kkr-capital-group-launch-funds-targeting-blend-private-public-credit-2025-04-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