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SRA guidance sharpens focus on risk-based approach to money laundering in conveyancing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Solicitors Regulation Authority (SRA) has issued updated guidance on combating money laundering within the conveyancing sector, emphasising the critical role that property transactions continue to play in criminal exploitation risks. According to the SRA, property matters remain among the highest-risk areas for money laundering, a position reinforced by the 2025 National Risk Assessment (NRA) which again rated the legal sector’s exposure as high. Conveyancers are now urged to shift from a tick-box mentality towards a more nuanced, risk-based approach in managing potential money laundering challenges.</w:t>
      </w:r>
      <w:r/>
    </w:p>
    <w:p>
      <w:r/>
      <w:r>
        <w:t>The SRA's updated directives particularly highlight the necessity for rigorous matter-specific risk assessments, requiring firms to clearly substantiate why a client or transaction has been classified as high, medium, or low risk. Enhanced due diligence measures are mandated in cases featuring higher risk indicators, such as overseas purchasers, complex ownership structures, or unorthodox sources of funding. Crucially, the regulator stresses that source of funds and source of wealth verification must extend beyond a mere review of bank statements to a thorough understanding of the money’s origins. Detailed record-keeping is also emphasised to ensure decisions are transparent and defensible if scrutinised. Training and supervision programs must be robust enough to enable staff to detect warning signs such as unusual purchasing patterns or inconsistent client profiles, reinforcing the importance of frontline vigilance.</w:t>
      </w:r>
      <w:r/>
    </w:p>
    <w:p>
      <w:r/>
      <w:r>
        <w:t>This guidance arrives at a time when government insights, such as those from HM Government’s NRA, signal heightened concern over financial crime risks in the legal sector. The NRA identifies factors like increased use of offshore companies to obscure beneficial ownership and complications stemming from breaches in client account rules, which augment vulnerabilities in legal firms. New working practices also present emerging risks; for example, reliance on e-verification technology and consultancy models without centralised oversight can lead to lapses in anti-money laundering (AML) controls.</w:t>
      </w:r>
      <w:r/>
    </w:p>
    <w:p>
      <w:r/>
      <w:r>
        <w:t>The SRA warns that poor compliance with AML obligations could lead to severe repercussions beyond regulatory penalties, including commercial impacts like refusal of funds by banks or insurance exclusions. Good AML practices, therefore, are positioned not as regulatory burdens but as essential components of sound risk management safeguarding firm reputations, insurers' support, and client trust. Simon Harbord, senior associate at Teal Compliance, points out that many firms mistakenly treat AML as a formality at best, but complacency leaves them vulnerable to significant risks.</w:t>
      </w:r>
      <w:r/>
    </w:p>
    <w:p>
      <w:r/>
      <w:r>
        <w:t>To align with the updated guidance, conveyancing firms are advised to conduct audits of recent transaction files focusing on the clarity and adequacy of client and matter risk assessments, with particular attention on comprehensive source of funds checks. Firms should also update their overarching risk assessments to reflect the latest NRA findings and property-specific risks. Finally, ongoing training must ensure staff understand how to apply AML measures practically rather than simply in theory.</w:t>
      </w:r>
      <w:r/>
    </w:p>
    <w:p>
      <w:r/>
      <w:r>
        <w:t>The SRA’s guidance is part of a broader regulatory landscape. Additional resources from the SRA and the Legal Sector Affinity Group (LSAG)—whose AML guidance, approved by HM Treasury, becomes mandatory from April 2025—offer firms detailed support to maintain compliance. This includes guidance on reporting breaches and handling suspicious activity reports. The SRA also regularly collects data on firms’ AML and sanctions activities to monitor compliance trends and emerging risks, reflecting an increasingly proactive regulatory stance.</w:t>
      </w:r>
      <w:r/>
    </w:p>
    <w:p>
      <w:r/>
      <w:r>
        <w:t>Overall, the SRA’s updated guidance signals a firm regulatory intention to intensify scrutiny of money laundering risks within conveyancing. Legal professionals involved in property work are reminded that AML diligence is integral not only to regulatory compliance but to upholding the integrity of the property market itself.</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https://todaysconveyancer.co.uk/sras-updated-guidance-money-laundering-matters-conveyancers/</w:t>
        </w:r>
      </w:hyperlink>
      <w:r>
        <w:t xml:space="preserve"> - Please view link - unable to able to access data</w:t>
      </w:r>
      <w:r/>
    </w:p>
    <w:p>
      <w:pPr>
        <w:pStyle w:val="ListNumber"/>
        <w:spacing w:line="240" w:lineRule="auto"/>
        <w:ind w:left="720"/>
      </w:pPr>
      <w:r/>
      <w:hyperlink r:id="rId10">
        <w:r>
          <w:rPr>
            <w:color w:val="0000EE"/>
            <w:u w:val="single"/>
          </w:rPr>
          <w:t>https://guidance.sra.org.uk/news/news/sra-update-143-guidance-money-launderers/</w:t>
        </w:r>
      </w:hyperlink>
      <w:r>
        <w:t xml:space="preserve"> - The Solicitors Regulation Authority (SRA) has updated its risk assessment on money laundering, following the publication of HM Government's National Risk Assessment (NRA). The guidance assesses the risks and challenges that money laundering and sanctions pose to legal services. The NRA continues to rate legal services as being at high risk of money laundering, and shows the Government continues to see combating financial crime as a top priority. The SRA's sectoral risk assessment applies the NRA's evaluation to its own findings, and firms should then use this to assess risk at a firm and matter level. This shows how money laundering risk is being assessed, evaluated and mitigated across the board. Among the issues raised are: the collapse of the Sheikh Hasima regime in Bangladesh, which might lead to attempts to purchase properties in the UK using funds that might not have been obtained legitimately; clients using offshore companies more to obscure the identity of the beneficial owners; and accounts rules breaches that could still lead to money-laundering risks, such as Rule 3.3 (prohibiting use of the client account as a banking facility) and the incorrect recording of funds. There are also risks around new ways of working, such as the introduction of new technology, or over reliance on e-verification, and the increase of firms using a consultancy model. This can help expansion, but without a centralised function to properly supervise, it could lead to money laundering attempts slipping through the net.</w:t>
      </w:r>
      <w:r/>
    </w:p>
    <w:p>
      <w:pPr>
        <w:pStyle w:val="ListNumber"/>
        <w:spacing w:line="240" w:lineRule="auto"/>
        <w:ind w:left="720"/>
      </w:pPr>
      <w:r/>
      <w:hyperlink r:id="rId13">
        <w:r>
          <w:rPr>
            <w:color w:val="0000EE"/>
            <w:u w:val="single"/>
          </w:rPr>
          <w:t>https://www.sra.org.uk/solicitors/resources/money-laundering/guidance-support/</w:t>
        </w:r>
      </w:hyperlink>
      <w:r>
        <w:t xml:space="preserve"> - This page contains links to a range of information, guidance and wider supporting materials which will help law firms and solicitors to understand their money laundering obligations and stay compliant. This includes guidance issued by the Solicitors Regulation Authority (SRA) and by the Legal Sector Affinity Group (LSAG). The Legal Sector Affinity Group (LSAG) is made up of both regulatory and representative bodies for legal services in the UK. It has produced guidance on the anti-money laundering (AML) regulations, which for firms supervised by the SRA for AML now constitutes official guidance. This guidance has been approved by HM Treasury. The latest revision of the LSAG Guidance has now been approved by HM Treasury and takes effect from 23 April 2025. The page also includes guidance on reporting breaches, suspicious activity reports, and other resources to help firms comply with AML obligations.</w:t>
      </w:r>
      <w:r/>
    </w:p>
    <w:p>
      <w:pPr>
        <w:pStyle w:val="ListNumber"/>
        <w:spacing w:line="240" w:lineRule="auto"/>
        <w:ind w:left="720"/>
      </w:pPr>
      <w:r/>
      <w:hyperlink r:id="rId12">
        <w:r>
          <w:rPr>
            <w:color w:val="0000EE"/>
            <w:u w:val="single"/>
          </w:rPr>
          <w:t>https://media.sra.org.uk/sra/news/sra-update/sra-update-issue-140-june-2025/</w:t>
        </w:r>
      </w:hyperlink>
      <w:r>
        <w:t xml:space="preserve"> - This issue of SRA Update includes information on the annual anti-money laundering (AML) and sanction data collection, which will take place in July. Firms will need to provide information about AML and financial sanctions activity and how they manage this. The SRA will contact compliance officers with more information about what to expect and when. A sample questionnaire is now available to help firms prepare. The issue also highlights the Legal Services Threat Assessment released by the Office of Financial Sanctions Implementation (OFSI), setting out the main sanctions compliance risks facing the legal sector. The SRA encourages all firms to consider its findings. Additionally, the issue notes that the LSAG anti-money laundering guidance was updated in April, including changes to the proceeds of crime regime, a revised approach to due diligence on bodies corporate, and further guidance on source of funds checks.</w:t>
      </w:r>
      <w:r/>
    </w:p>
    <w:p>
      <w:pPr>
        <w:pStyle w:val="ListNumber"/>
        <w:spacing w:line="240" w:lineRule="auto"/>
        <w:ind w:left="720"/>
      </w:pPr>
      <w:r/>
      <w:hyperlink r:id="rId15">
        <w:r>
          <w:rPr>
            <w:color w:val="0000EE"/>
            <w:u w:val="single"/>
          </w:rPr>
          <w:t>https://rules.sra.org.uk/sra/news/sra-update/sra-update-issue-133-november-2024/</w:t>
        </w:r>
      </w:hyperlink>
      <w:r>
        <w:t xml:space="preserve"> - This issue of SRA Update includes information on consultations as part of the Consumer Protection Review, focusing on potential changes to how client money is handled and protected. The material includes guidance for both in-house solicitors and their employers. The issue also highlights guidance for in-house solicitors, including a guide for employers to understand their lawyers' obligations. Additionally, the issue notes that the SRA will be running a virtual Compliance Officers Conference in November, covering topics such as anti-money laundering, cybercrime, and continuing competence.</w:t>
      </w:r>
      <w:r/>
    </w:p>
    <w:p>
      <w:pPr>
        <w:pStyle w:val="ListNumber"/>
        <w:spacing w:line="240" w:lineRule="auto"/>
        <w:ind w:left="720"/>
      </w:pPr>
      <w:r/>
      <w:hyperlink r:id="rId11">
        <w:r>
          <w:rPr>
            <w:color w:val="0000EE"/>
            <w:u w:val="single"/>
          </w:rPr>
          <w:t>https://www.sra.org.uk/solicitors/resources/money-laundering/scope-money-laundering-regulations/</w:t>
        </w:r>
      </w:hyperlink>
      <w:r>
        <w:t xml:space="preserve"> - This guidance explains how the Money Laundering, Terrorist Financing and Transfer of Funds (Information on the Payer) Regulations 2017 (as amended) apply to legal services. It outlines the activities that fall within the scope of anti-money laundering (AML) requirements and the responsibilities of firms to comply with these regulations. The guidance also discusses the requirements for firms in scope of the MLR 2017, including the need for a firm-wide risk assessment, policies, controls, and procedures, and the appointment of relevant nominated officers. It also explains the process for obtaining approval of significant role holders from the SRA.</w:t>
      </w:r>
      <w:r/>
    </w:p>
    <w:p>
      <w:pPr>
        <w:pStyle w:val="ListNumber"/>
        <w:spacing w:line="240" w:lineRule="auto"/>
        <w:ind w:left="720"/>
      </w:pPr>
      <w:r/>
      <w:hyperlink r:id="rId16">
        <w:r>
          <w:rPr>
            <w:color w:val="0000EE"/>
            <w:u w:val="single"/>
          </w:rPr>
          <w:t>https://www.sra.org.uk/solicitors/resources/money-laundering/aml-questions-answers</w:t>
        </w:r>
      </w:hyperlink>
      <w:r>
        <w:t xml:space="preserve"> - This section provides answers to a number of common questions about preventing money laundering and compliance with The Money Laundering, Terrorist Financing and Transfer of Funds (Information on the Payer) Regulations 2017 ('the regulations'). It covers topics such as the scope of the regulations, including whether it is necessary to hold client money to be drawn into the regulations, and whether freelancers are in scope of the AML regulations. The guidance also addresses other common questions related to AML compliance.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sras-updated-guidance-money-laundering-matters-conveyancers/" TargetMode="External"/><Relationship Id="rId10" Type="http://schemas.openxmlformats.org/officeDocument/2006/relationships/hyperlink" Target="https://guidance.sra.org.uk/news/news/sra-update-143-guidance-money-launderers/" TargetMode="External"/><Relationship Id="rId11" Type="http://schemas.openxmlformats.org/officeDocument/2006/relationships/hyperlink" Target="https://www.sra.org.uk/solicitors/resources/money-laundering/scope-money-laundering-regulations/" TargetMode="External"/><Relationship Id="rId12" Type="http://schemas.openxmlformats.org/officeDocument/2006/relationships/hyperlink" Target="https://media.sra.org.uk/sra/news/sra-update/sra-update-issue-140-june-2025/" TargetMode="External"/><Relationship Id="rId13" Type="http://schemas.openxmlformats.org/officeDocument/2006/relationships/hyperlink" Target="https://www.sra.org.uk/solicitors/resources/money-laundering/guidance-support/" TargetMode="External"/><Relationship Id="rId14" Type="http://schemas.openxmlformats.org/officeDocument/2006/relationships/hyperlink" Target="https://www.noahwire.com" TargetMode="External"/><Relationship Id="rId15" Type="http://schemas.openxmlformats.org/officeDocument/2006/relationships/hyperlink" Target="https://rules.sra.org.uk/sra/news/sra-update/sra-update-issue-133-november-2024/" TargetMode="External"/><Relationship Id="rId16" Type="http://schemas.openxmlformats.org/officeDocument/2006/relationships/hyperlink" Target="https://www.sra.org.uk/solicitors/resources/money-laundering/aml-questions-ans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