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hits record high amid global resilience and geopolitical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Footsie once again hit a record high, amid an intriguing disconnect between the jubilant stock market and a host of sobering global challenges. Despite concerns ranging from the US government shutdown and tariffs to the prolonged conflict in Ukraine and broader geopolitical tensions, equity markets in the UK and across the world have shown remarkable resilience. The FTSE 100’s gains stand out in particular when viewed not just through a domestic lens, but in the context of global economic dynamics.</w:t>
      </w:r>
      <w:r/>
    </w:p>
    <w:p>
      <w:r/>
      <w:r>
        <w:t>A critical factor behind the FTSE’s performance is its international exposure. Approximately 80% of the earnings of FTSE 100 companies are derived from overseas operations or exports, making the index less vulnerable to purely UK-centric economic issues. Moreover, foreign investors have steadily increased their stake in UK equities, now owning over 60% of the market. This trend aligns with broader data indicating UK investors hold less domestic equity than at any point in recent history, as large institutional funds shift capital towards global markets, especially the United States. Viewed from abroad, the UK remains a compelling investment destination, particularly because foreign owners are not subject to the UK’s tax burdens.</w:t>
      </w:r>
      <w:r/>
    </w:p>
    <w:p>
      <w:r/>
      <w:r>
        <w:t>Valuation metrics also play a role: the FTSE’s price-to-earnings ratio stands at about 14, notably lower than continental Europe’s 18 and the US S&amp;P 500’s 23. This relative cheapness further attracts foreign investment. However, the UK index’s gains have lagged behind the more tech-heavy US markets, where robust growth from mega-cap technology firms has propelled indices like the S&amp;P 500 to substantial gains, underscoring the UK's comparative underweighting in technology sectors.</w:t>
      </w:r>
      <w:r/>
    </w:p>
    <w:p>
      <w:r/>
      <w:r>
        <w:t>Beyond the UK, global equities are supported by abundant liquidity fueled by years of central bank monetary stimulus. This has created an environment flush with capital searching for returns, which helps explain why markets remain elevated despite economic headwinds such as inflationary pressures and geopolitical uncertainties. Global dividends continue to grow, with US firms driving much of this momentum, while the UK also sees most companies maintaining or raising dividend payments, signaling corporate confidence.</w:t>
      </w:r>
      <w:r/>
    </w:p>
    <w:p>
      <w:r/>
      <w:r>
        <w:t>Trade flows have not yet been significantly impaired by sanctions or tariffs, contrary to some expectations. Industry observers, including shipping experts, report unprecedented congestion at ports due to high volumes of goods, suggesting sustained demand and economic activity despite the geopolitical friction around Russia and Ukraine. Yet, geopolitical risks remain a key wildcard; the impact of sanctions, shifting trade policies, and unstable international relations has introduced volatility into markets and altered capital flows, as seen in recent fluctuations in both equity markets and US Treasury yields.</w:t>
      </w:r>
      <w:r/>
    </w:p>
    <w:p>
      <w:r/>
      <w:r>
        <w:t>Looking ahead, many investors express concern about a potential market correction. The extraordinary valuations of US tech giants—companies like Nvidia, Microsoft, and Apple each valued at several trillion dollars—raise questions about sustainability. Such frothy conditions often precede market pullbacks, and seasoned investors remain wary. Nonetheless, it is important to differentiate between short-term market sentiment and the underlying health of the global economy, which currently shows manageable spare capacity, healthy consumer savings, and the prospect of stimulative central bank policy if needed.</w:t>
      </w:r>
      <w:r/>
    </w:p>
    <w:p>
      <w:r/>
      <w:r>
        <w:t>Analysts generally anticipate the next major global recession to occur later in the decade, around 2028 or 2029, rather than imminently. If central banks can successfully navigate the challenges ahead by adjusting interest rates and supporting growth, corporate profitability could continue improving, sustaining the current buoyancy in share prices worldwide.</w:t>
      </w:r>
      <w:r/>
    </w:p>
    <w:p>
      <w:r/>
      <w:r>
        <w:t>In conclusion, while geopolitical tensions and economic uncertainties pose real challenges, the global stock markets—including the UK’s FTSE 100—reflect a complex interplay of international earnings exposure, foreign ownership, abundant liquidity, and resilient corporate performance. Investors appear optimistic that the cycle of growth can be extended for several more years, even if caution remains warranted given valuations and geopolitical fragilities.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https://www.dailymail.co.uk/money/comment/article-15161699/HAMISH-MCRAE-Stock-market-bulls-charge.html?ns_mchannel=rss&amp;ns_campaign=1490&amp;ito=1490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https://www.lseg.com/en/insights/ftse-russell/a-ftse-usa-success-story</w:t>
        </w:r>
      </w:hyperlink>
      <w:r>
        <w:t xml:space="preserve"> - This article discusses the significant performance of US equities within the FTSE All World Index since the Global Financial Crisis. It highlights the increasing weight of US equities, which now represent over 60% of the index, and contrasts this with the declining shares of other markets, including the UK, Japan, and emerging markets. The article attributes the US's dominance to its strong economic performance and the resilience of its equity market, noting that the US contributed 181% of the total return of about 216% from 2008 to 2024.</w:t>
      </w:r>
      <w:r/>
    </w:p>
    <w:p>
      <w:pPr>
        <w:pStyle w:val="ListNumber"/>
        <w:spacing w:line="240" w:lineRule="auto"/>
        <w:ind w:left="720"/>
      </w:pPr>
      <w:r/>
      <w:hyperlink r:id="rId12">
        <w:r>
          <w:rPr>
            <w:color w:val="0000EE"/>
            <w:u w:val="single"/>
          </w:rPr>
          <w:t>https://www.lseg.com/en/insights/data-analytics/putting-uk-equities-in-perspective</w:t>
        </w:r>
      </w:hyperlink>
      <w:r>
        <w:t xml:space="preserve"> - This piece examines the trend of decreasing domestic ownership of UK equities, revealing that UK investors now hold less domestic equity than at any point on record, with foreign ownership dominating UK-listed shares. It notes that over £1.9 trillion has exited UK equities since 2000, as pension funds and wealth managers pivot to global markets, particularly the US. The article provides historical data showing a decline in UK ownership from 96% in 1981 to 42% in 2022, highlighting the shift towards foreign investment in UK markets.</w:t>
      </w:r>
      <w:r/>
    </w:p>
    <w:p>
      <w:pPr>
        <w:pStyle w:val="ListNumber"/>
        <w:spacing w:line="240" w:lineRule="auto"/>
        <w:ind w:left="720"/>
      </w:pPr>
      <w:r/>
      <w:hyperlink r:id="rId10">
        <w:r>
          <w:rPr>
            <w:color w:val="0000EE"/>
            <w:u w:val="single"/>
          </w:rPr>
          <w:t>https://www.spglobal.com/en/research-insights/market-insights/geopolitical-risk/impact-of-geopolitics-global-economic-outlook</w:t>
        </w:r>
      </w:hyperlink>
      <w:r>
        <w:t xml:space="preserve"> - This article explores the significant influence of geopolitical instability on global financial markets and exchange rates, particularly in the context of trade-related developments and shifting policy expectations. It discusses how events like the announcement of reciprocal tariffs have led to widespread sell-offs in equity markets and unexpected surges in US Treasury yields. The piece also highlights the impact of geopolitical risks on capital flows and sovereign debt exposure, noting that foreign entities hold close to US$8.5 trillion in US Treasurys as of January 2025.</w:t>
      </w:r>
      <w:r/>
    </w:p>
    <w:p>
      <w:pPr>
        <w:pStyle w:val="ListNumber"/>
        <w:spacing w:line="240" w:lineRule="auto"/>
        <w:ind w:left="720"/>
      </w:pPr>
      <w:r/>
      <w:hyperlink r:id="rId13">
        <w:r>
          <w:rPr>
            <w:color w:val="0000EE"/>
            <w:u w:val="single"/>
          </w:rPr>
          <w:t>https://www.theguardian.com/business/2023/dec/29/ftse-100-up-but-europe-us-uk-wall-street-sp-500</w:t>
        </w:r>
      </w:hyperlink>
      <w:r>
        <w:t xml:space="preserve"> - This article reports on the FTSE 100's performance in 2023, noting a 3.8% increase that lags behind rival markets in Europe and the US. It attributes the underperformance to the UK's lack of technology companies compared to the US, where the S&amp;P 500 index has jumped by 25% that year. The piece also mentions that the FTSE 100 reached 7,733 points on the final trading day of the year, marking its highest closing level since late May.</w:t>
      </w:r>
      <w:r/>
    </w:p>
    <w:p>
      <w:pPr>
        <w:pStyle w:val="ListNumber"/>
        <w:spacing w:line="240" w:lineRule="auto"/>
        <w:ind w:left="720"/>
      </w:pPr>
      <w:r/>
      <w:hyperlink r:id="rId11">
        <w:r>
          <w:rPr>
            <w:color w:val="0000EE"/>
            <w:u w:val="single"/>
          </w:rPr>
          <w:t>https://business.smdailypress.com/smdailypress/article/marketminute-2025-8-18-geopolitical-tensions-and-market-impact-us-russia-summit-and-global-stability</w:t>
        </w:r>
      </w:hyperlink>
      <w:r>
        <w:t xml:space="preserve"> - This article examines the impact of the Russia-Ukraine conflict and the US-Russia summit on global markets. It discusses how geopolitical tensions have led to energy price volatility, supply chain disruptions, and inflationary pressures, creating distinct winners and losers across sectors. The piece highlights that defense contractors have benefited from increased demand, while companies like Dell, McDonald's, and Apple have faced financial losses due to withdrawing or curtailing operations in Russia.</w:t>
      </w:r>
      <w:r/>
    </w:p>
    <w:p>
      <w:pPr>
        <w:pStyle w:val="ListNumber"/>
        <w:spacing w:line="240" w:lineRule="auto"/>
        <w:ind w:left="720"/>
      </w:pPr>
      <w:r/>
      <w:hyperlink r:id="rId15">
        <w:r>
          <w:rPr>
            <w:color w:val="0000EE"/>
            <w:u w:val="single"/>
          </w:rPr>
          <w:t>https://tdcenter.org/2025/04/17/a-market-in-decline-why-business-as-usual-no-longer-works-with-russia/</w:t>
        </w:r>
      </w:hyperlink>
      <w:r>
        <w:t xml:space="preserve"> - This article argues that Russia is no longer a viable market for long-term foreign investment due to sanctions, legal unpredictability, and economic deterioration. It discusses escalating geopolitical and legal risks, including asset seizures and secondary sanctions, and highlights the Kremlin's shift towards militarization and economic nationalism, creating a hostile business environment. The piece also notes that Western sanctions have deeply impacted Russia’s financial and technological capabilities, resulting in capital flight and currency depreciation.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omment/article-15161699/HAMISH-MCRAE-Stock-market-bulls-charge.html?ns_mchannel=rss&amp;ns_campaign=1490&amp;ito=1490" TargetMode="External"/><Relationship Id="rId10" Type="http://schemas.openxmlformats.org/officeDocument/2006/relationships/hyperlink" Target="https://www.spglobal.com/en/research-insights/market-insights/geopolitical-risk/impact-of-geopolitics-global-economic-outlook" TargetMode="External"/><Relationship Id="rId11" Type="http://schemas.openxmlformats.org/officeDocument/2006/relationships/hyperlink" Target="https://business.smdailypress.com/smdailypress/article/marketminute-2025-8-18-geopolitical-tensions-and-market-impact-us-russia-summit-and-global-stability" TargetMode="External"/><Relationship Id="rId12" Type="http://schemas.openxmlformats.org/officeDocument/2006/relationships/hyperlink" Target="https://www.lseg.com/en/insights/data-analytics/putting-uk-equities-in-perspective" TargetMode="External"/><Relationship Id="rId13" Type="http://schemas.openxmlformats.org/officeDocument/2006/relationships/hyperlink" Target="https://www.theguardian.com/business/2023/dec/29/ftse-100-up-but-europe-us-uk-wall-street-sp-500" TargetMode="External"/><Relationship Id="rId14" Type="http://schemas.openxmlformats.org/officeDocument/2006/relationships/hyperlink" Target="https://www.lseg.com/en/insights/ftse-russell/a-ftse-usa-success-story" TargetMode="External"/><Relationship Id="rId15" Type="http://schemas.openxmlformats.org/officeDocument/2006/relationships/hyperlink" Target="https://tdcenter.org/2025/04/17/a-market-in-decline-why-business-as-usual-no-longer-works-with-russi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