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Off-market property deals decline as market shifts towards transparency and wider exposure in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one in six homes sold in England and Wales between 2022 and 2024 changed hands off-market, bypassing traditional public listings such as property portals, estate agent websites, or auctions. According to new data from property analytics firm TwentyEA, 15.8% of residential property transactions over this three-year period were completed discreetly through private networks, direct approaches, or agents working from existing buyer lists. However, this off-market activity has been declining, dropping from 17.8% of sales in 2022 to 11.4% in 2024, marking a notable shift back towards conventional marketing strategies in a market that is recalibrating following a period of heightened buyer competition.</w:t>
      </w:r>
      <w:r/>
    </w:p>
    <w:p>
      <w:r/>
      <w:r>
        <w:t>This contraction in off-market sales, as executive director Katy Billany of TwentyEA explained, aligns with an increase in supply and adjustments in interest rates that encouraged more sellers to list their properties publicly. Supply grew by 10% in 2024 compared with the previous year, and with successive reductions in interest rates, sellers are increasingly relying on professional marketing—including quality photography, comprehensive portal exposure, and active promotion—to secure sales in what is becoming a buyers' market. The average time for a property to go under offer now stands at 77 days, the longest period in five years, adding pressure on sellers to maximise market visibility rather than restrict access through off-market deals.</w:t>
      </w:r>
      <w:r/>
    </w:p>
    <w:p>
      <w:r/>
      <w:r>
        <w:t>The data further reveal a stark divide at the £1 million price threshold. Properties priced below £1 million are seldom sold off-market—just 6.7% of these transactions—highlighting the importance of wide exposure to attract a price-sensitive buyer pool. Conversely, for properties above £1 million, off-market sales represent 20.1%, reflecting the high-end market’s preference for discretion, limited viewings, and exclusivity. This bifurcation underscores two distinct residential markets: one public and competitive, the other private and driven by exclusivity, where privacy and discreet access are prioritised.</w:t>
      </w:r>
      <w:r/>
    </w:p>
    <w:p>
      <w:r/>
      <w:r>
        <w:t>The broader housing market displays mixed signals. While off-market sales decline, overall market activity remains slightly above 2024 levels. The supply of new instructions rose by 1.7% in the last quarter compared with the previous quarter, and volumes of sales agreed increased by 3.2%, reflecting stable buyer interest. The surge in exchanges seen early in 2024—prompted by buyers rushing to complete purchases ahead of stamp duty changes—has now normalised. Yet, price reductions continue to dominate market trends, with 919,000 recorded this year, the highest on record and 16% higher year-on-year. Notably, 38.7% of concluded listings experienced at least one price reduction, with the most pronounced rise among properties priced over £1 million where reduction rates climbed by 3.1%. Regionally, while price reduction levels ease in northern areas, they intensify in London and the South, with Inner London particularly weak, registering a 3.0 percentage point increase in reductions.</w:t>
      </w:r>
      <w:r/>
    </w:p>
    <w:p>
      <w:r/>
      <w:r>
        <w:t>Supplementing these findings, official UK House Price Index reports for Wales reveal a downward trend in property transactions over the past year, with an 18.7% decrease from October 2023 to October 2024. Similarly, data points to a 13.2% drop in overall property sales in Wales between September 2024 and August 2025. The majority of sold properties in Wales fall within the £150,000-£200,000 price range, with most transactions involving established homes rather than new builds. Average prices across different property types in Wales vary notably, with detached homes averaging around £328,000 and flats or maisonettes about £147,000 as of mid-2024.</w:t>
      </w:r>
      <w:r/>
    </w:p>
    <w:p>
      <w:r/>
      <w:r>
        <w:t>In contrast, other regions in the UK have shown resilience, with reports from IFA Magazine noting the strongest housing market start in three years, including a 12% rise in new sales agreed compared to 2024. Regional disparities persist, however, with house prices rising by 3.2% in the North West and 1.1% in South East England over the year, revealing a geographically varied recovery and buyer demand pattern.</w:t>
      </w:r>
      <w:r/>
    </w:p>
    <w:p>
      <w:r/>
      <w:r>
        <w:t>Taken together, these insights portray a housing market in flux. Off-market sales, once a notable hallmark of exclusivity and high-net-worth transactions, are receding as sellers increasingly embrace full market exposure amid moderating economic conditions. Meanwhile, the divergent trends between regional market performances and the stark contrast between price bands highlight the complexity facing buyers and sellers alike as they navigate a market balancing recovery, affordability, and changing consumer behaviours.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https://propertyindustryeye.com/one-in-six-homes-sold-off-market-new-data-reveals/</w:t>
        </w:r>
      </w:hyperlink>
      <w:r>
        <w:t xml:space="preserve"> - Please view link - unable to able to access data</w:t>
      </w:r>
      <w:r/>
    </w:p>
    <w:p>
      <w:pPr>
        <w:pStyle w:val="ListNumber"/>
        <w:spacing w:line="240" w:lineRule="auto"/>
        <w:ind w:left="720"/>
      </w:pPr>
      <w:r/>
      <w:hyperlink r:id="rId9">
        <w:r>
          <w:rPr>
            <w:color w:val="0000EE"/>
            <w:u w:val="single"/>
          </w:rPr>
          <w:t>https://propertyindustryeye.com/one-in-six-homes-sold-off-market-new-data-reveals/</w:t>
        </w:r>
      </w:hyperlink>
      <w:r>
        <w:t xml:space="preserve"> - An article from Property Industry Eye reports that over 15.8% of residential property sales in England and Wales between 2022 and 2024 were off-market, according to data from property analytics firm TwentyEA. The report highlights a decline in off-market transactions from 17.8% in 2022 to 11.4% in 2024, suggesting a shift towards traditional marketing strategies. The data also indicates that properties priced above £1 million are more likely to be sold off-market, with 20.1% of such properties changing hands without public listings.</w:t>
      </w:r>
      <w:r/>
    </w:p>
    <w:p>
      <w:pPr>
        <w:pStyle w:val="ListNumber"/>
        <w:spacing w:line="240" w:lineRule="auto"/>
        <w:ind w:left="720"/>
      </w:pPr>
      <w:r/>
      <w:hyperlink r:id="rId10">
        <w:r>
          <w:rPr>
            <w:color w:val="0000EE"/>
            <w:u w:val="single"/>
          </w:rPr>
          <w:t>https://www.gov.uk/government/statistics/uk-house-price-index-for-december-2024/uk-house-price-index-wales-december-2024</w:t>
        </w:r>
      </w:hyperlink>
      <w:r>
        <w:t xml:space="preserve"> - The UK House Price Index for December 2024 provides detailed statistics on property transactions in Wales. It reports a decrease in the number of property transactions from 3,093 in October 2023 to 2,515 in October 2024, marking an 18.7% decline. The data also highlights regional variations, with some areas experiencing more significant decreases than others. This information offers insights into the housing market dynamics in Wales during this period.</w:t>
      </w:r>
      <w:r/>
    </w:p>
    <w:p>
      <w:pPr>
        <w:pStyle w:val="ListNumber"/>
        <w:spacing w:line="240" w:lineRule="auto"/>
        <w:ind w:left="720"/>
      </w:pPr>
      <w:r/>
      <w:hyperlink r:id="rId11">
        <w:r>
          <w:rPr>
            <w:color w:val="0000EE"/>
            <w:u w:val="single"/>
          </w:rPr>
          <w:t>https://www.gov.uk/government/statistics/uk-house-price-index-for-july-2024/uk-house-price-index-wales-july-2024</w:t>
        </w:r>
      </w:hyperlink>
      <w:r>
        <w:t xml:space="preserve"> - The UK House Price Index for July 2024 presents data on property transactions in Wales, showing a decrease in the number of property transactions from 2,515 in May 2023 to 1,715 in May 2024, a 10.4% decline. The report also provides average house prices by property type, indicating that detached properties had an average price of £328,000, semi-detached £217,000, terraced £177,000, and flats/maisonettes £147,000 in August 2024.</w:t>
      </w:r>
      <w:r/>
    </w:p>
    <w:p>
      <w:pPr>
        <w:pStyle w:val="ListNumber"/>
        <w:spacing w:line="240" w:lineRule="auto"/>
        <w:ind w:left="720"/>
      </w:pPr>
      <w:r/>
      <w:hyperlink r:id="rId15">
        <w:r>
          <w:rPr>
            <w:color w:val="0000EE"/>
            <w:u w:val="single"/>
          </w:rPr>
          <w:t>https://www.gov.uk/government/statistics/uk-house-price-index-for-february-2024/uk-house-price-index-wales-february-2024</w:t>
        </w:r>
      </w:hyperlink>
      <w:r>
        <w:t xml:space="preserve"> - The UK House Price Index for February 2024 offers insights into property transactions in Wales. It reports a significant decrease in the number of property transactions from 3,670 in December 2022 to 1,569 in December 2023, a 44.3% decline. The data also provides median house prices for various local authorities in Wales, ranging from £54,000 in Denbighshire to £668,000 in Monmouthshire.</w:t>
      </w:r>
      <w:r/>
    </w:p>
    <w:p>
      <w:pPr>
        <w:pStyle w:val="ListNumber"/>
        <w:spacing w:line="240" w:lineRule="auto"/>
        <w:ind w:left="720"/>
      </w:pPr>
      <w:r/>
      <w:hyperlink r:id="rId12">
        <w:r>
          <w:rPr>
            <w:color w:val="0000EE"/>
            <w:u w:val="single"/>
          </w:rPr>
          <w:t>https://www.plumplot.co.uk/Wales-property-transactions.html</w:t>
        </w:r>
      </w:hyperlink>
      <w:r>
        <w:t xml:space="preserve"> - Plumplot's analysis of property transactions in Wales for the period September 2024 to August 2025 reveals that there were 32,300 property sales, a 13.2% decrease compared to the previous year. The majority of properties sold were in the £150,000-£200,000 price range, accounting for 22.3% of transactions. The data also shows that 97.6% of properties sold were established homes, with only 2.4% being newly built.</w:t>
      </w:r>
      <w:r/>
    </w:p>
    <w:p>
      <w:pPr>
        <w:pStyle w:val="ListNumber"/>
        <w:spacing w:line="240" w:lineRule="auto"/>
        <w:ind w:left="720"/>
      </w:pPr>
      <w:r/>
      <w:hyperlink r:id="rId13">
        <w:r>
          <w:rPr>
            <w:color w:val="0000EE"/>
            <w:u w:val="single"/>
          </w:rPr>
          <w:t>https://ifamagazine.com/housing-market-gets-off-to-its-strongest-start-in-three-years-with-new-sales-agreed-up-12-per-cent-on-2024/</w:t>
        </w:r>
      </w:hyperlink>
      <w:r>
        <w:t xml:space="preserve"> - IFA Magazine reports that the UK housing market experienced its strongest start in three years, with new sales agreed up 12% compared to 2024. The article highlights regional variations, noting that the North West saw a 3.2% increase in average house prices over 2024, while the South East experienced a 1.1% increase. The data suggests a positive trend in the housing market, with increased sales activity and rising prices in certain regions.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pertyindustryeye.com/one-in-six-homes-sold-off-market-new-data-reveals/" TargetMode="External"/><Relationship Id="rId10" Type="http://schemas.openxmlformats.org/officeDocument/2006/relationships/hyperlink" Target="https://www.gov.uk/government/statistics/uk-house-price-index-for-december-2024/uk-house-price-index-wales-december-2024" TargetMode="External"/><Relationship Id="rId11" Type="http://schemas.openxmlformats.org/officeDocument/2006/relationships/hyperlink" Target="https://www.gov.uk/government/statistics/uk-house-price-index-for-july-2024/uk-house-price-index-wales-july-2024" TargetMode="External"/><Relationship Id="rId12" Type="http://schemas.openxmlformats.org/officeDocument/2006/relationships/hyperlink" Target="https://www.plumplot.co.uk/Wales-property-transactions.html" TargetMode="External"/><Relationship Id="rId13" Type="http://schemas.openxmlformats.org/officeDocument/2006/relationships/hyperlink" Target="https://ifamagazine.com/housing-market-gets-off-to-its-strongest-start-in-three-years-with-new-sales-agreed-up-12-per-cent-on-2024/"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statistics/uk-house-price-index-for-february-2024/uk-house-price-index-wales-february-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