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betting industry warns of job losses as proposed tax hikes threaten High Street closures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future of the UK’s High Street betting shops hangs in the balance as Chancellor Rachel Reeves considers raising taxes on the gambling industry, a move that has prompted stark warnings from leading figures within the sector. Fred Done, co-founder and chairman of Betfred, one of the UK’s largest bookmakers, has issued a dire prediction: an increase in gambling tax rates could force the closure of all 1,287 Betfred outlets, putting roughly 7,500 jobs at risk and accelerating the decline of the High Street betting business.</w:t>
      </w:r>
      <w:r/>
    </w:p>
    <w:p>
      <w:r/>
      <w:r>
        <w:t>Done’s concerns come in the wake of suggestions from influential voices, including former Prime Minister Gordon Brown, who advocates using additional gambling tax revenues to combat child poverty. The Institute for Public Policy Research (IPPR) has projected that raising gambling taxes to as high as 50% could yield up to £3.2 billion in government revenue. However, this proposal has drawn strong opposition from industry representatives, who argue such hikes would be economically damaging and drive gamblers towards offshore, unregulated markets.</w:t>
      </w:r>
      <w:r/>
    </w:p>
    <w:p>
      <w:r/>
      <w:r>
        <w:t>Betfred’s chairman explained that even a rise to around 35-40% in betting taxes would render the business unprofitable. Currently, the firm grapples with 300 loss-making shops, a figure that would rise to 430 with just a 5% tax increase. These financial pressures are compounded by recent increases in employer National Insurance Contributions and the minimum wage, which alone have added £20 million to Betfred’s costs. While Done acknowledged the inevitability of some migration to online betting, he insists that without steep tax hikes, the brick-and-mortar shop model still has “probably 20 years of life” left.</w:t>
      </w:r>
      <w:r/>
    </w:p>
    <w:p>
      <w:r/>
      <w:r>
        <w:t>This view aligns with other gambling firms’ responses to tax discussions. Paddy Power, owned by Flutter Entertainment, announced the closure of 57 shops across the UK and Ireland due to cost pressures and challenging market conditions. William Hill also flagged the potential for up to 200 retail closures if taxes rise. These developments come amid broader concerns about the viability of High Street retail more generally, with reports from PwC and the British Retail Consortium highlighting accelerating shop closures driven by increased business costs, including National Living Wage adjustments and business rates. The Labour government, defending these tax policies, argues they are necessary to address a sizable inherited budget deficit.</w:t>
      </w:r>
      <w:r/>
    </w:p>
    <w:p>
      <w:r/>
      <w:r>
        <w:t>The ongoing debate is not limited to high street betting shops. The horse racing industry is also mobilising in response to proposed tax changes. The Treasury's consideration of consolidating remote betting duties into a single rate threatens to raise taxes on horse race betting from 15% to potentially 21%, aligning them with rates on online casinos. On September 10, 2025, in a historic move, over 200 jockeys, trainers, and racing professionals staged a strike by voluntarily suspending British horse racing, protesting the tax reform they deem catastrophic. The sport contributes over £4 billion to the UK economy and supports around 85,000 jobs, with bookmakers funding more than £350 million annually. The British Horseracing Authority and industry figures argue that higher taxes would reduce revenues dramatically, leading to fewer race meetings, lower prize money, and widespread job losses.</w:t>
      </w:r>
      <w:r/>
    </w:p>
    <w:p>
      <w:r/>
      <w:r>
        <w:t>Financially, while some gambling companies report resilience and growth in other areas, the sector remains cautious. British gambling giant Entain, owning brands like Ladbrokes and Coral, recently reported a 6% rise in third-quarter gaming revenue, mainly driven by US operations and online gaming, and maintained its annual profit forecasts despite challenges in the retail segment. Smaller competitors, such as Rank Group, similarly posted revenue growth but voiced apprehension regarding potential tax hikes in the upcoming budget.</w:t>
      </w:r>
      <w:r/>
    </w:p>
    <w:p>
      <w:r/>
      <w:r>
        <w:t>The UK Gambling Commission has publicly challenged the industry’s narrative of looming disaster, accusing bookmakers of scaremongering and exaggerating the risk of a black-market surge if taxes rise. The regulator points to international examples, such as the Netherlands, where tax increases led to some initial black-market shifts but also supported substantial government revenue. The Commission sees the tax reforms as part of a broader “polluter pays” approach, aiming to hold a sector associated with social harms—including problem gambling affecting an estimated 0.3% of the population—more financially accountable. Public opinion appears supportive, with polling indicating significant backing for increased online gambling taxes.</w:t>
      </w:r>
      <w:r/>
    </w:p>
    <w:p>
      <w:r/>
      <w:r>
        <w:t>Proposed tax adjustments include raising the remote gaming duty (currently 21%) potentially to 50%, and the general betting duty (currently 15% on most sports betting) possibly up to 42-50%. Such measures could bring in an estimated £3 billion in additional revenue, designated partly to support social initiatives like reducing child poverty and ensuring fair contributions from the gambling sector.</w:t>
      </w:r>
      <w:r/>
    </w:p>
    <w:p>
      <w:r/>
      <w:r>
        <w:t>Nevertheless, industry insiders warn of unintended consequences. While tax revenues might increase, a 10-15% shift of gambling activity offshore—via unregulated sites and VPN use—could dilute the tax base, undermining government income and consumer protections. The balance between regulation, taxation, and economic viability remains delicate, especially as the sector grapples with evolving consumer behaviours and shifting market dynamics.</w:t>
      </w:r>
      <w:r/>
    </w:p>
    <w:p>
      <w:r/>
      <w:r>
        <w:t>In sum, the proposed gambling tax reforms present a significant turning point for the UK’s betting industry, with potential for far-reaching impacts on jobs, local economies, and the cultural fabric of High Streets and horse racing. As Chancellor Reeves weighs these options, the industry faces profound uncertainty, seeking a sustainable path between fiscal responsibility and commercial survival.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4 – </w:t>
      </w:r>
      <w:hyperlink r:id="rId12">
        <w:r>
          <w:rPr>
            <w:color w:val="0000EE"/>
            <w:u w:val="single"/>
          </w:rPr>
          <w:t>[2]</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14">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6 – </w:t>
      </w:r>
      <w:hyperlink r:id="rId11">
        <w:r>
          <w:rPr>
            <w:color w:val="0000EE"/>
            <w:u w:val="single"/>
          </w:rPr>
          <w:t>[6]</w:t>
        </w:r>
      </w:hyperlink>
      <w:r>
        <w:t xml:space="preserve"> </w:t>
      </w:r>
      <w:r/>
    </w:p>
    <w:p>
      <w:pPr>
        <w:pStyle w:val="ListBullet"/>
        <w:spacing w:line="240" w:lineRule="auto"/>
        <w:ind w:left="720"/>
      </w:pPr>
      <w:r/>
      <w:r>
        <w:t xml:space="preserve">Paragraph 7 – </w:t>
      </w:r>
      <w:hyperlink r:id="rId11">
        <w:r>
          <w:rPr>
            <w:color w:val="0000EE"/>
            <w:u w:val="single"/>
          </w:rPr>
          <w:t>[6]</w:t>
        </w:r>
      </w:hyperlink>
      <w:r>
        <w:t xml:space="preserve">,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https://www.bbc.com/news/articles/c5ydpmy7mj1o?at_medium=RSS&amp;at_campaign=rss</w:t>
        </w:r>
      </w:hyperlink>
      <w:r>
        <w:t xml:space="preserve"> - Please view link - unable to able to access data</w:t>
      </w:r>
      <w:r/>
    </w:p>
    <w:p>
      <w:pPr>
        <w:pStyle w:val="ListNumber"/>
        <w:spacing w:line="240" w:lineRule="auto"/>
        <w:ind w:left="720"/>
      </w:pPr>
      <w:r/>
      <w:hyperlink r:id="rId12">
        <w:r>
          <w:rPr>
            <w:color w:val="0000EE"/>
            <w:u w:val="single"/>
          </w:rPr>
          <w:t>https://www.reuters.com/sports/gambling-tax-fight-brings-jockeys-racing-industry-westminster-2025-09-10/</w:t>
        </w:r>
      </w:hyperlink>
      <w:r>
        <w:t xml:space="preserve"> - On September 10, 2025, over 200 jockeys, trainers, and racing industry representatives gathered outside the UK Parliament in London to protest a proposed government gambling tax reform. The Treasury is considering consolidating online betting duties into a single rate, which critics have dubbed the 'racing tax.' The racing industry warns this change could severely impact its financial stability, with potential job losses across the sector—including jockeys, stable staff, and race-day workers. As a symbolic gesture, British racing was voluntarily suspended for the first time in history. Group 1 jockey Kieran Shoemark described the measure as potentially 'catastrophic.' Horse racing in Britain relies heavily on contributions from betting companies, totaling over £350 million annually. The British Horseracing Authority stressed the sport's importance, noting it supports 85,000 jobs and contributes over £4 billion to the economy. The government stated the review aims to simplify taxation but confirmed there are no plans to alter tax exemptions for racecourse betting. The racing sector is urging for a lower, separate tax rate, citing the cultural and economic significance of the sport.</w:t>
      </w:r>
      <w:r/>
    </w:p>
    <w:p>
      <w:pPr>
        <w:pStyle w:val="ListNumber"/>
        <w:spacing w:line="240" w:lineRule="auto"/>
        <w:ind w:left="720"/>
      </w:pPr>
      <w:r/>
      <w:hyperlink r:id="rId10">
        <w:r>
          <w:rPr>
            <w:color w:val="0000EE"/>
            <w:u w:val="single"/>
          </w:rPr>
          <w:t>https://www.reuters.com/business/retail-consumer/rate-uk-shop-closures-accelerate-after-budget-tax-changes-says-report-2025-03-20/</w:t>
        </w:r>
      </w:hyperlink>
      <w:r>
        <w:t xml:space="preserve"> - A report from PwC indicates that the rate of shop closures on Britain's high streets is expected to accelerate in 2025 due to increased business costs imposed by the government's latest budget. These costs include higher National Living Wage, employer National Insurance contributions, and business rates, which are making marginal retail and hospitality locations unviable. The Finance Minister Rachel Reeves' budget, aimed at raising funds for infrastructure and public services, has faced criticism from the business community. In 2024, a net of 12,804 shops belonging to multiples and chains closed in the UK, with overall net closures averaging 10 per day. The British Retail Consortium warns that these added costs could lead to higher prices, job losses, and reduced investment. While high street closures continue, out-of-town locations have experienced fewer closures and a rise in new store openings, driven by shifts from high streets to more convenient retail parks. The Labour government defends the budget measures as necessary steps to address a £22 billion deficit inherited from the previous Conservative administration.</w:t>
      </w:r>
      <w:r/>
    </w:p>
    <w:p>
      <w:pPr>
        <w:pStyle w:val="ListNumber"/>
        <w:spacing w:line="240" w:lineRule="auto"/>
        <w:ind w:left="720"/>
      </w:pPr>
      <w:r/>
      <w:hyperlink r:id="rId14">
        <w:r>
          <w:rPr>
            <w:color w:val="0000EE"/>
            <w:u w:val="single"/>
          </w:rPr>
          <w:t>https://www.reuters.com/business/uks-entain-reports-6-rise-third-quarter-gaming-revenue-2025-10-15/</w:t>
        </w:r>
      </w:hyperlink>
      <w:r>
        <w:t xml:space="preserve"> - British gambling company Entain reported a 6% increase in third-quarter net gaming revenue, driven largely by the performance of its U.S. joint venture, BetMGM, and strong online gaming activity. The firm reaffirmed its annual core profit forecast of £1.10 billion to £1.15 billion, despite challenges such as weaker September margins due to favorable sports betting outcomes for customers and sluggish retail performance. BetMGM, which is partnered with MGM Resorts, raised its revenue and profit guidance for the third time this year and plans to return at least $200 million to stakeholders by year-end. CEO Stella David, who assumed the role in April, expressed optimism about generating over £500 million in annual cash flow by 2028. Entain’s online gaming revenue is expected to grow approximately 7% on a constant currency basis by year-end. Meanwhile, smaller competitor Rank Group posted a 9% rise in like-for-like net gaming revenue but voiced concerns over potential tax changes in the forthcoming UK autumn budget.</w:t>
      </w:r>
      <w:r/>
    </w:p>
    <w:p>
      <w:pPr>
        <w:pStyle w:val="ListNumber"/>
        <w:spacing w:line="240" w:lineRule="auto"/>
        <w:ind w:left="720"/>
      </w:pPr>
      <w:r/>
      <w:hyperlink r:id="rId13">
        <w:r>
          <w:rPr>
            <w:color w:val="0000EE"/>
            <w:u w:val="single"/>
          </w:rPr>
          <w:t>https://www.reuters.com/sports/why-is-british-horse-racing-going-strike-2025-09-09/</w:t>
        </w:r>
      </w:hyperlink>
      <w:r>
        <w:t xml:space="preserve"> - On September 10, 2025, British horse racing will come to a halt as jockeys, trainers, and racecourses stage the sport's first-ever strike in protest against a proposed government tax reform on remote betting. The UK Treasury is considering harmonizing remote betting duties, which could raise taxes on horse racing wagers from 15% to 21%, aligning them with online casinos. This move is meant to generate additional revenue without increasing income tax, national insurance, or VAT. The racing industry, heavily reliant on bookmaker contributions—estimated at over £350 million annually, including £108 million from a betting levy—warns that this hike would drastically reduce revenues. Consequences may include fewer race meetings, lower prize money, job losses, and financial hardship for smaller racecourses and training operations. Industry figures have united in opposition, calling the move catastrophic, while the Betting and Gaming Council criticized the strike for lacking consultation and warned it could destabilize not only racing but other sports funded by betting revenues. The government maintains that current racecourse bet exemptions will remain and that it aims to balance the system fairly.</w:t>
      </w:r>
      <w:r/>
    </w:p>
    <w:p>
      <w:pPr>
        <w:pStyle w:val="ListNumber"/>
        <w:spacing w:line="240" w:lineRule="auto"/>
        <w:ind w:left="720"/>
      </w:pPr>
      <w:r/>
      <w:hyperlink r:id="rId11">
        <w:r>
          <w:rPr>
            <w:color w:val="0000EE"/>
            <w:u w:val="single"/>
          </w:rPr>
          <w:t>https://www.apnews.org/uk-gambling-regulator-rebukes-industry-scaremongering-as-3bn-tax-hike-threatens-sector-shake-up/</w:t>
        </w:r>
      </w:hyperlink>
      <w:r>
        <w:t xml:space="preserve"> - On August 18, 2025, as the UK’s financial markets reacted to fresh calls for tax reforms, the gambling industry found itself once again at the center of a heated policy debate. This development echoes historical tensions, such as the 2019 reduction in fixed-odds betting terminals stakes from £100 to £2, which reshaped the sector and led to over 1,000 shop closures. The Gambling Commission, the regulatory body established under the 2005 Gambling Act, publicly criticized major bookmakers for exaggerating the dangers of proposed tax increases, which could generate up to £3 billion annually to address a £22 billion fiscal shortfall identified by Chancellor Rachel Reeves following Labour’s victory in the July 2024 general election. Shares in leading gambling companies plummeted on August 17, 2025, in response to intensified advocacy for higher levies. Flutter Entertainment, operator of Paddy Power and Betfair, experienced a 5% decline in stock value, while Entain, which owns Ladbrokes and Coral, saw a 4% drop. These movements were fueled by recommendations from think tanks like the Institute for Public Policy Research (IPPR) and the Social Market Foundation (SMF), supported by Derek Webb—a former professional poker player and multimillionaire who has donated £1.3 million to Labour since early 2023 and an additional £250,000 to the Liberal Democrats for social care initiatives. The proposals aim to double certain taxes, including the 15% general betting duty on high-street bookmakers’ profits and the 21% remote gaming duty on online casinos, potentially raising between £900 million and £3 billion. In the context of local communities, this issue resonates deeply in areas like Stoke-on-Trent, where Bet365 employs around 4,000 people, or in high streets across Manchester and Birmingham, where bookmakers contribute to over 100,000 jobs nationwide but face criticism amid child poverty rates affecting 4.3 million children, including nearly 1 million without proper beds as highlighted in Gordon Brown’s August 6, 2025, commentary. Micro-details include the IPPR’s suggestion to elevate remote gaming duty to 50%, yielding £1.6 billion, and general betting duty to 25%, adding £450 million after allocating £100 million to support horseracing—a sport that generates £4.1 billion in economic impact and employs 85,000 people. Another nuance: the SMF proposes a uniform 42% rate for all online bets, diverging from the current split, while the sector already contributes £3.6 billion in duties, with £1.2 billion from remote gaming and £713 million from general betting. A third detail reveals that 42% of polled individuals strongly support higher online gambling taxes, with 28% somewhat in favor, according to a YouGov survey. How Has the Regulator Addressed the Industry’s Resistance? The Gambling Commission rebuked bookmakers on August 17, 2025, for what it termed “scaremongering,” particularly claims that tax hikes would boost black-market activity, estimated to cost the Treasury €200 million in revenue shortfalls in the Netherlands after a 2024 increase from 29% to 37.8%. This stance builds on prior lobbying efforts by the Betting and Gaming Council (BGC), which commissioned a report from EY and hosted events like a darts night in July 2025 to engage Labour advisers and MPs’ staff. Locally, in regions like Newmarket—home to British horseracing—the British Horseracing Authority has voiced concerns, leading to a planned strike on September 10, 2025, against harmonizing taxes that could affect the sport’s £350 million annual levy funding. Expert analysis suggests this regulatory push reflects a broader “polluter pays” approach, where high-harm sectors like gambling, contributing to 3 million at-risk individuals in 2024 statistics, bear greater fiscal responsibility. Comparisons to successful models, such as Pennsylvania’s 50% tax on online slots or Delaware’s up to 57%, indicate that robust enforcement can sustain industry growth, with Flutter projecting a 40% profit surge to £2.45 billion in 2025, while Evoke anticipates £362 million. However, critics like Dan Waugh from Regulus Partners warn of unintended consequences, such as consumers shifting to unregulated sites via VPNs, potentially reducing Treasury intake by millions. What Does It Means for The UK’s Betting Sector? Before: Under the post-2014 point-of-consumption tax framework, online gaming is taxed at 21% and sports betting at 15%, yielding £3.6 billion in 2024-25, but deemed insufficient compared to 80% on tobacco or 70% on alcohol. After: Proposed changes, potentially effective by late 2025 or early 2026, could harmonize rates at 42-50%, adding up to £3 billion, following the 2023 gambling white paper’s affordability checks phased in from August 2024, affecting 20% of high-stakes deposits over £500 monthly. What it means: In locales like Glasgow or Liverpool, where gambling shops number over 8,000 nationwide, punters might face reduced odds or promotions, but benefit from enhanced safeguards reducing addiction rates among the 0.3% problem gamblers (around 170,000 people). Economically, it could fund anti-poverty programs, like lifting the two-child benefit cap costing £2.5 billion, while encouraging innovation; yet, risks include a 10-15% market shift to black sites, as seen in other jurisdictions, potentially costing £500 million in lost revenue. FAQs on the UK’s Gambling Tax Controversy What are the specific proposed tax adjustments? The IPPR recommends raising remote gaming duty from 21% to 50% (£1.6 billion additional) and general betting duty from 15% to 42-50%, depending on the model, potentially generating up to £3 billion in extra revenue, with some proposals suggesting a uniform 42% rate for all online bets.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5ydpmy7mj1o?at_medium=RSS&amp;at_campaign=rss" TargetMode="External"/><Relationship Id="rId10" Type="http://schemas.openxmlformats.org/officeDocument/2006/relationships/hyperlink" Target="https://www.reuters.com/business/retail-consumer/rate-uk-shop-closures-accelerate-after-budget-tax-changes-says-report-2025-03-20/" TargetMode="External"/><Relationship Id="rId11" Type="http://schemas.openxmlformats.org/officeDocument/2006/relationships/hyperlink" Target="https://www.apnews.org/uk-gambling-regulator-rebukes-industry-scaremongering-as-3bn-tax-hike-threatens-sector-shake-up/" TargetMode="External"/><Relationship Id="rId12" Type="http://schemas.openxmlformats.org/officeDocument/2006/relationships/hyperlink" Target="https://www.reuters.com/sports/gambling-tax-fight-brings-jockeys-racing-industry-westminster-2025-09-10/" TargetMode="External"/><Relationship Id="rId13" Type="http://schemas.openxmlformats.org/officeDocument/2006/relationships/hyperlink" Target="https://www.reuters.com/sports/why-is-british-horse-racing-going-strike-2025-09-09/" TargetMode="External"/><Relationship Id="rId14" Type="http://schemas.openxmlformats.org/officeDocument/2006/relationships/hyperlink" Target="https://www.reuters.com/business/uks-entain-reports-6-rise-third-quarter-gaming-revenue-2025-10-1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