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Banks' fossil fuel financing continues to undermine climate commitments despite rising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report by a London-based research centre reveals that global banks have made limited progress toward reducing financed emissions, with some institutions even diluting their climate commitments. This stagnation occurs despite growing global concerns and rising pressures on the financial sector to support the transition to a low-carbon economy.</w:t>
      </w:r>
      <w:r/>
    </w:p>
    <w:p>
      <w:r/>
      <w:r>
        <w:t>The report highlights that, since the Paris Agreement in 2016, major banks have collectively channelled nearly $7 trillion into fossil fuel financing. This includes over $3 trillion specifically earmarked for fossil fuel expansion. US banks represent the largest portion of this financing, with JP Morgan Chase, Mizuho, and Bank of America topping the list as the biggest contributors to the fossil fuel sector last year. European banks such as Santander and Deutsche Bank also feature prominently, raising questions about the claims of some institutions regarding their climate leadership. While Deutsche Bank maintains it has significantly reduced financing for carbon-intensive projects and remains committed to a managed phase-out of fossil fuels, the broader financial sector continues to face significant scrutiny for supporting industries driving climate change.</w:t>
      </w:r>
      <w:r/>
    </w:p>
    <w:p>
      <w:r/>
      <w:r>
        <w:t>Amid this challenging backdrop, some banks have revised their climate targets, reflecting the difficulties in influencing real economy emissions. HSBC, for example, has postponed its original 2030 net-zero emissions target, now aiming instead for a 40% reduction by 2030 and net zero by 2050. According to the bank's latest annual report, this adjustment stems from limited leverage over client companies, slow technological progress, fluctuating market demand, and policy uncertainties. Moreover, HSBC has undertaken an internal review of its loan-related emissions targets and removed its chief sustainability officer from the executive committee, moves that have raised concerns among climate activists about a potential retreat from climate commitments. Similar withdrawals from climate coalitions have been seen with other major US institutions, including Goldman Sachs, which recently exited the Net-Zero Banking Alliance amid political pressure related to anti-trust concerns.</w:t>
      </w:r>
      <w:r/>
    </w:p>
    <w:p>
      <w:r/>
      <w:r>
        <w:t>In contrast, some banks are ramping up their climate finance efforts to enable a just and broad-based transition across sectors. NatWest has announced a substantial commitment to provide £200 billion ($269 billion) over the next five years to support client decarbonisation goals. This initiative notably includes financing for traditionally emissions-intensive industries such as steel, cement, and iron, acknowledging the importance of engaging these sectors in the energy transition. NatWest has also incorporated financing for nuclear energy and gas infrastructure supported by carbon capture, while notably excluding social financing from its strategy. The bank reported having already exceeded its previous target for climate and sustainable finance, demonstrating a more proactive stance amid an often fragmented sector response.</w:t>
      </w:r>
      <w:r/>
    </w:p>
    <w:p>
      <w:r/>
      <w:r>
        <w:t>Some banks, such as ING, have achieved recognition for their climate strategies. ING was the first systemically important global bank to have its climate targets validated by the Science-Based Targets initiative (SBTi), confirming alignment with efforts to limit global warming to 1.5 degrees Celsius. This validation covers financing in fossil fuels, heavy industries, power generation, and other critical sectors. ING’s approach includes a commitment to phase out financing for upstream oil and gas by 2040 and restrict engagements with specific high-impact companies. This endorsement underscores the potential role large banks can play in climate stabilization efforts when they adopt robust, science-aligned targets.</w:t>
      </w:r>
      <w:r/>
    </w:p>
    <w:p>
      <w:r/>
      <w:r>
        <w:t>Despite these varying approaches and the growing urgency for climate action, the financial sector’s overall progress toward decarbonisation remains uneven. The combined pressures of economic realities, political shifts, and technological barriers have contributed to a complex landscape where ambition is often tempered by operational challenges. As major banks recalibrate their climate strategies and face scrutiny from activists, regulators, and investors, the pathway to aligning global finance with net-zero goals continues to be fraught with contradictions and competing priorities.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Carbon Pulse, </w:t>
      </w:r>
      <w:hyperlink r:id="rId10">
        <w:r>
          <w:rPr>
            <w:color w:val="0000EE"/>
            <w:u w:val="single"/>
          </w:rPr>
          <w:t>[4]</w:t>
        </w:r>
      </w:hyperlink>
      <w:r>
        <w:t xml:space="preserve"> Euronews</w:t>
      </w:r>
      <w:r/>
    </w:p>
    <w:p>
      <w:pPr>
        <w:pStyle w:val="ListBullet"/>
        <w:spacing w:line="240" w:lineRule="auto"/>
        <w:ind w:left="720"/>
      </w:pPr>
      <w:r/>
      <w:r>
        <w:t xml:space="preserve">Paragraph 2 – </w:t>
      </w:r>
      <w:hyperlink r:id="rId10">
        <w:r>
          <w:rPr>
            <w:color w:val="0000EE"/>
            <w:u w:val="single"/>
          </w:rPr>
          <w:t>[4]</w:t>
        </w:r>
      </w:hyperlink>
      <w:r>
        <w:t xml:space="preserve"> Euronews, </w:t>
      </w:r>
      <w:hyperlink r:id="rId9">
        <w:r>
          <w:rPr>
            <w:color w:val="0000EE"/>
            <w:u w:val="single"/>
          </w:rPr>
          <w:t>[1]</w:t>
        </w:r>
      </w:hyperlink>
      <w:r>
        <w:t xml:space="preserve"> Carbon Pulse</w:t>
      </w:r>
      <w:r/>
    </w:p>
    <w:p>
      <w:pPr>
        <w:pStyle w:val="ListBullet"/>
        <w:spacing w:line="240" w:lineRule="auto"/>
        <w:ind w:left="720"/>
      </w:pPr>
      <w:r/>
      <w:r>
        <w:t xml:space="preserve">Paragraph 3 – </w:t>
      </w:r>
      <w:hyperlink r:id="rId11">
        <w:r>
          <w:rPr>
            <w:color w:val="0000EE"/>
            <w:u w:val="single"/>
          </w:rPr>
          <w:t>[2]</w:t>
        </w:r>
      </w:hyperlink>
      <w:r>
        <w:t xml:space="preserve"> Reuters, </w:t>
      </w:r>
      <w:hyperlink r:id="rId9">
        <w:r>
          <w:rPr>
            <w:color w:val="0000EE"/>
            <w:u w:val="single"/>
          </w:rPr>
          <w:t>[1]</w:t>
        </w:r>
      </w:hyperlink>
      <w:r>
        <w:t xml:space="preserve"> Carbon Pulse, </w:t>
      </w:r>
      <w:hyperlink r:id="rId12">
        <w:r>
          <w:rPr>
            <w:color w:val="0000EE"/>
            <w:u w:val="single"/>
          </w:rPr>
          <w:t>[5]</w:t>
        </w:r>
      </w:hyperlink>
      <w:r>
        <w:t xml:space="preserve"> Reuters</w:t>
      </w:r>
      <w:r/>
    </w:p>
    <w:p>
      <w:pPr>
        <w:pStyle w:val="ListBullet"/>
        <w:spacing w:line="240" w:lineRule="auto"/>
        <w:ind w:left="720"/>
      </w:pPr>
      <w:r/>
      <w:r>
        <w:t xml:space="preserve">Paragraph 4 – </w:t>
      </w:r>
      <w:hyperlink r:id="rId13">
        <w:r>
          <w:rPr>
            <w:color w:val="0000EE"/>
            <w:u w:val="single"/>
          </w:rPr>
          <w:t>[3]</w:t>
        </w:r>
      </w:hyperlink>
      <w:r>
        <w:t xml:space="preserve"> Reuters, </w:t>
      </w:r>
      <w:hyperlink r:id="rId9">
        <w:r>
          <w:rPr>
            <w:color w:val="0000EE"/>
            <w:u w:val="single"/>
          </w:rPr>
          <w:t>[1]</w:t>
        </w:r>
      </w:hyperlink>
      <w:r>
        <w:t xml:space="preserve"> Carbon Pulse</w:t>
      </w:r>
      <w:r/>
    </w:p>
    <w:p>
      <w:pPr>
        <w:pStyle w:val="ListBullet"/>
        <w:spacing w:line="240" w:lineRule="auto"/>
        <w:ind w:left="720"/>
      </w:pPr>
      <w:r/>
      <w:r>
        <w:t xml:space="preserve">Paragraph 5 – </w:t>
      </w:r>
      <w:hyperlink r:id="rId14">
        <w:r>
          <w:rPr>
            <w:color w:val="0000EE"/>
            <w:u w:val="single"/>
          </w:rPr>
          <w:t>[6]</w:t>
        </w:r>
      </w:hyperlink>
      <w:r>
        <w:t xml:space="preserve"> Reuters, </w:t>
      </w:r>
      <w:hyperlink r:id="rId9">
        <w:r>
          <w:rPr>
            <w:color w:val="0000EE"/>
            <w:u w:val="single"/>
          </w:rPr>
          <w:t>[1]</w:t>
        </w:r>
      </w:hyperlink>
      <w:r>
        <w:t xml:space="preserve"> Carbon Pulse</w:t>
      </w:r>
      <w:r/>
    </w:p>
    <w:p>
      <w:pPr>
        <w:pStyle w:val="ListBullet"/>
        <w:spacing w:line="240" w:lineRule="auto"/>
        <w:ind w:left="720"/>
      </w:pPr>
      <w:r/>
      <w:r>
        <w:t xml:space="preserve">Paragraph 6 – </w:t>
      </w:r>
      <w:hyperlink r:id="rId9">
        <w:r>
          <w:rPr>
            <w:color w:val="0000EE"/>
            <w:u w:val="single"/>
          </w:rPr>
          <w:t>[1]</w:t>
        </w:r>
      </w:hyperlink>
      <w:r>
        <w:t xml:space="preserve"> Carbon Pulse, </w:t>
      </w:r>
      <w:hyperlink r:id="rId10">
        <w:r>
          <w:rPr>
            <w:color w:val="0000EE"/>
            <w:u w:val="single"/>
          </w:rPr>
          <w:t>[4]</w:t>
        </w:r>
      </w:hyperlink>
      <w:r>
        <w:t xml:space="preserve"> Euronews, </w:t>
      </w:r>
      <w:hyperlink r:id="rId11">
        <w:r>
          <w:rPr>
            <w:color w:val="0000EE"/>
            <w:u w:val="single"/>
          </w:rPr>
          <w:t>[2]</w:t>
        </w:r>
      </w:hyperlink>
      <w:r>
        <w:t xml:space="preserve"> Reuters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https://carbon-pulse.com/447222/</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https://www.reuters.com/sustainability/hsbc-pushes-back-climate-emissions-target-review-policies-2025-02-19/</w:t>
        </w:r>
      </w:hyperlink>
      <w:r>
        <w:t xml:space="preserve"> - HSBC has postponed its 2030 net-zero emissions target, citing slow progress in the real economy. The bank now aims for a 40% reduction in emissions by 2030 and net-zero by mid-century. An internal review of emission targets linked to its loans has been initiated. HSBC's annual report highlighted limited influence over companies, technological advancements, market demand, and policy effectiveness as reasons for the revised targets. The initial net-zero target relied on carbon credits, which are not aligned with the latest guidance from the Science Based Targets Initiative. The chief sustainability officer stepped down after the position was removed from the executive committee. Activists are concerned that this change suggests a reduction in HSBC's commitment to climate goals, amid similar actions from other banks like Morgan Stanley and several U.S. banks distancing themselves from climate coalitions.</w:t>
      </w:r>
      <w:r/>
    </w:p>
    <w:p>
      <w:pPr>
        <w:pStyle w:val="ListNumber"/>
        <w:spacing w:line="240" w:lineRule="auto"/>
        <w:ind w:left="720"/>
      </w:pPr>
      <w:r/>
      <w:hyperlink r:id="rId13">
        <w:r>
          <w:rPr>
            <w:color w:val="0000EE"/>
            <w:u w:val="single"/>
          </w:rPr>
          <w:t>https://www.reuters.com/sustainability/cop/natwest-scales-up-support-net-zero-transition-2025-07-25/</w:t>
        </w:r>
      </w:hyperlink>
      <w:r>
        <w:t xml:space="preserve"> - NatWest has announced an expansion of its climate and transition finance efforts, pledging to provide £200 billion ($268.70 billion) over the next five years to help clients meet decarbonisation and climate goals. The British bank aims to support a broader range of industries essential to the energy transition, including traditionally emissions-intensive sectors like iron, steel, and cement. This scaled-up effort comes as global banks seek to balance their support for carbon-heavy sectors with climate action. NatWest emphasized the importance of investing across various industries to support the real economy's transition. Despite some banks, including HSBC, withdrawing from climate coalitions amid shifting governmental priorities, NatWest reaffirmed its commitment to the Net Zero Banking Alliance. Its updated strategy will now include financing for nuclear energy and gas infrastructures with carbon capture, although it has excluded social financing. The bank has already achieved £110 billion in climate and sustainable finance by the second quarter of 2025, exceeding its previous £100 billion target, according to James Close, head of climate change at NatWest.</w:t>
      </w:r>
      <w:r/>
    </w:p>
    <w:p>
      <w:pPr>
        <w:pStyle w:val="ListNumber"/>
        <w:spacing w:line="240" w:lineRule="auto"/>
        <w:ind w:left="720"/>
      </w:pPr>
      <w:r/>
      <w:hyperlink r:id="rId10">
        <w:r>
          <w:rPr>
            <w:color w:val="0000EE"/>
            <w:u w:val="single"/>
          </w:rPr>
          <w:t>https://www.euronews.com/green/2024/05/13/banks-are-propping-up-the-fossil-fuel-industry-to-the-tune-of-65-trillion-new-report-finds</w:t>
        </w:r>
      </w:hyperlink>
      <w:r>
        <w:t xml:space="preserve"> - A new report has found that big banks have financed fossil fuels with nearly $7 trillion (€6.5 trillion) since the Paris Agreement. The 15th annual Banking on Climate Chaos (BOCC) report looked at how the top 60 private banks in the world are underwriting and lending to over 4,200 fossil fuel firms, and financing companies causing the degradation of the Amazon and Arctic. Their research found that, since the Paris Agreement to limit global warming was signed in 2016, these banks have financed fossil fuels with $6.9 trillion (€6.4 trillion). The report says $3.3 trillion (€3 trillion) - almost half of this amount - went towards fossil fuel expansion alone. US banks top the list of the biggest financiers in 2023 contributing 30 per cent of the total amount. JP Morgan Chase topped the list overall at nearly $41 billion (€38 billion) handed out to fossil fuel firms last year and Bank of America came in third. Japanese bank Mizuho came in second with $37.1 billion (€34 billion). "Banks that profit from climate chaos invent new greenwash every year, but we have the receipts that show how much money they put into fossil fuels," says report co-author April Merleaux, research and policy manager at Rainforest Action Network. It was also eighth in the ranking of top banks financing fossil fuels since the Paris Agreement. Santander was Europe’s second biggest at $14.5 billion (€13.4 billion) in 2023 and Deutsche Bank was third with $13.4 billion (€12.4 billion). "European banks like to claim to be showing leadership when it comes to action on climate change, but they are continuing to channel money into fossil fuel expansion, despite the clear warnings from climate science," says co-author Lucie Pinson, director and founder of Reclaim Finance. A spokesperson for Deutsche Bank says it is "transparent about its decarbonisation strategy in CO2-intensive sectors" and the latest disclosure shows emissions have been "reduced significantly". The bank says it has significantly reduced its engagement in carbon-intensive schemes since 2016 and emphasises that its "objective is to support the orderly and targeted phasing out of fossil fuels".</w:t>
      </w:r>
      <w:r/>
    </w:p>
    <w:p>
      <w:pPr>
        <w:pStyle w:val="ListNumber"/>
        <w:spacing w:line="240" w:lineRule="auto"/>
        <w:ind w:left="720"/>
      </w:pPr>
      <w:r/>
      <w:hyperlink r:id="rId12">
        <w:r>
          <w:rPr>
            <w:color w:val="0000EE"/>
            <w:u w:val="single"/>
          </w:rPr>
          <w:t>https://www.reuters.com/sustainability/sustainable-finance-reporting/goldman-sachs-quits-global-climate-coalition-banks-2024-12-06/</w:t>
        </w:r>
      </w:hyperlink>
      <w:r>
        <w:t xml:space="preserve"> - Goldman Sachs has withdrawn from the Net-Zero Banking Alliance (NZBA), a global coalition of banks committed to aligning lending and investment activities with climate goals to achieve net-zero emissions by 2050. The decision correlates with pressure from Republican politicians suggesting that such memberships might breach anti-trust regulations. Although Goldman Sachs did not state an explicit reason for its exit, they highlighted their robust strategy and commitment to sustainability, driven in part by stringent regulatory standards. The firm reassured its intent to continue publishing progress on its net-zero goals and on aiding clients in meeting their sustainability targets. This move comes after several U.S. investors, including Goldman Sachs’ fund management sector, left another global climate initiative earlier this year, amidst ongoing legal challenges faced by major investors like BlackRock from Republican-led states over alleged anti-trust violations.</w:t>
      </w:r>
      <w:r/>
    </w:p>
    <w:p>
      <w:pPr>
        <w:pStyle w:val="ListNumber"/>
        <w:spacing w:line="240" w:lineRule="auto"/>
        <w:ind w:left="720"/>
      </w:pPr>
      <w:r/>
      <w:hyperlink r:id="rId14">
        <w:r>
          <w:rPr>
            <w:color w:val="0000EE"/>
            <w:u w:val="single"/>
          </w:rPr>
          <w:t>https://www.reuters.com/sustainability/sustainable-finance-reporting/ing-first-globally-important-bank-meet-climate-watchdog-standards-2025-03-26/</w:t>
        </w:r>
      </w:hyperlink>
      <w:r>
        <w:t xml:space="preserve"> - ING has become the first systemically significant global bank to have its climate goals validated by the Science-Based Targets initiative (SBTi) as aligning with efforts to limit global warming to 1.5 degrees Celsius. The Dutch bank's targets span across sectors such as fossil fuels, power generation, cement, steel, automotive, aviation, and commercial real estate. ING had previously announced plans to phase out upstream oil and gas financing by 2040 and further restricted lending and bond issuance to specific oil and gas firms. The validation of ING's climate targets showcases the role large financial institutions can play in climate stabilization. Despite ongoing debates within the banking sector regarding the feasibility of the 1.5-degree target, SBTi's endorsement carries significant prestige and influences financial decisions. The SBTi, which emerged as an authority on corporate climate targets, emphasizes that sector targets should align with the 1.5-degree goal, or at least a well-below-2-degree pathway if not available. This validation highlights ING's commitment to contributing to global climate change mitigation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bon-pulse.com/447222/" TargetMode="External"/><Relationship Id="rId10" Type="http://schemas.openxmlformats.org/officeDocument/2006/relationships/hyperlink" Target="https://www.euronews.com/green/2024/05/13/banks-are-propping-up-the-fossil-fuel-industry-to-the-tune-of-65-trillion-new-report-finds" TargetMode="External"/><Relationship Id="rId11" Type="http://schemas.openxmlformats.org/officeDocument/2006/relationships/hyperlink" Target="https://www.reuters.com/sustainability/hsbc-pushes-back-climate-emissions-target-review-policies-2025-02-19/" TargetMode="External"/><Relationship Id="rId12" Type="http://schemas.openxmlformats.org/officeDocument/2006/relationships/hyperlink" Target="https://www.reuters.com/sustainability/sustainable-finance-reporting/goldman-sachs-quits-global-climate-coalition-banks-2024-12-06/" TargetMode="External"/><Relationship Id="rId13" Type="http://schemas.openxmlformats.org/officeDocument/2006/relationships/hyperlink" Target="https://www.reuters.com/sustainability/cop/natwest-scales-up-support-net-zero-transition-2025-07-25/" TargetMode="External"/><Relationship Id="rId14" Type="http://schemas.openxmlformats.org/officeDocument/2006/relationships/hyperlink" Target="https://www.reuters.com/sustainability/sustainable-finance-reporting/ing-first-globally-important-bank-meet-climate-watchdog-standards-2025-03-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