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Private capital accelerates as traditional banks retreat from CRE lending amid rising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Banks are increasingly pulling back from commercial real estate (CRE) lending, making room for a surge of private capital that is aggressively pursuing CRE debt deals. This shift is occurring as banks of all sizes shrink their real estate loan portfolios, often due to regulatory caution and a preference for more stable returns, while private credit funds chase higher yields on riskier, shorter-duration loans. According to industry observers, this dynamic is reshaping the commercial real estate lending landscape, with private funds even proposing bridge loans to developers before projects reach completion, a trend that traditional banks are hesitant to follow.</w:t>
      </w:r>
      <w:r/>
    </w:p>
    <w:p>
      <w:r/>
      <w:r>
        <w:t>Data shows that major banks have reported shrinkage in their CRE debt portfolios in recent quarters. For instance, Wells Fargo’s CRE portfolio contracted by 8% year-over-year in Q3, while U.S. Bank’s holdings dwindled by 5%. Bank of America and PNC also reported declines, albeit smaller, whereas Citi and JPMorgan Chase saw modest increases. Regional banks are similarly paring down older, distressed CRE debt to make way for new lending, but at a cautious pace. Bank OZK, a significant regional lender in construction loans, reported record loan repayments in the third quarter, doubling its year-to-date paydowns, while issuing new CRE loans at a five-year low. Its CEO, George Gleason, indicated that the bank views current lending opportunities conservatively, reluctant to engage in aggressively priced or highly leveraged deals that private funds often pursue.</w:t>
      </w:r>
      <w:r/>
    </w:p>
    <w:p>
      <w:r/>
      <w:r>
        <w:t>The competition from private credit is stiff because these investors are eager to deploy capital—funds raised over multiple years awaiting distressed opportunities that have yet to materialize fully. This eagerness results in private funds proactively reaching out to borrowers with attractive bridge and refinance loan offers, sometimes even before projects are stabilised. J.C. de Ona, Southeast Division President at Centennial Bank, noted this trend in markets like Miami, where private capital increasingly offers better terms and more flexible loan structures compared to banks, which remain constrained by regulatory underwriting standards and credit risk limits.</w:t>
      </w:r>
      <w:r/>
    </w:p>
    <w:p>
      <w:r/>
      <w:r>
        <w:t>While private capital seeks higher returns and may accept greater risk, banks typically aim for conservative credit quality to maintain steady earnings and meet regulatory requirements. Yet, despite ongoing challenges in the sector, including loan charge-offs and provisions, large institutions continue to report robust profits. Wells Fargo, for example, experienced $107 million in CRE charge-offs in Q3—its highest this year—though this was still down from previous quarters. The bank has simultaneously reduced its allowance for credit losses in CRE by 30 basis points, reflecting cautious optimism. Similarly, Bank of America lowered its CRE credit reserves and is budgeting for fewer losses relative to its CRE loan book. Bank OZK, while increasing its credit loss allowance modestly, saw a shrinkage in its criticized loan portfolio, aided by asset sales like the foreclosed Lincoln Yards project in Chicago.</w:t>
      </w:r>
      <w:r/>
    </w:p>
    <w:p>
      <w:r/>
      <w:r>
        <w:t>The broader CRE market, including the office sector, shows tentative signs of stabilisation. Despite a pandemic-induced slump, office property transactions surged 42% in the first half of the year, totalling $26 billion, with vacancy rates declining in Q3, partly due to conversions of older office buildings into apartments. The Federal Reserve’s recent interest rate cuts have further improved investor sentiment, encouraging more refinancing activity over costly loan extensions. New York-based Flushing Bank’s CEO John Buran sees no systemic credit problems, only isolated issues, and anticipates a gradual increase in bank lending as market clarity improves. However, banks still face the reality of competing against private equity for deals, particularly for higher-yield loans that banks may deem too risky.</w:t>
      </w:r>
      <w:r/>
    </w:p>
    <w:p>
      <w:r/>
      <w:r>
        <w:t>This cautious stance contrasts with the rising provisions and loan loss reserves reported by some European lenders grappling with CRE distress. German property lender Aareal, for example, booked a record $478 million in provisions last year—the highest this century—driven by challenges in both the German and U.S. markets amid falling prices and refinancing difficulties. UBS also flags commercial real estate downturns as significant risks, noting sustained weak demand and increasing borrowing costs have led to the most severe slowdown since the global financial crisis of 2008-09. UBS’s CRE exposure rose notably following its acquisition of Credit Suisse, even as it pursues ambitious environmental targets for its property lending portfolio.</w:t>
      </w:r>
      <w:r/>
    </w:p>
    <w:p>
      <w:r/>
      <w:r>
        <w:t>U.S.-based regional banks are not immune to pressure either. New York Community Bancorp (NYCB) faces a dual challenge of reducing its heavy CRE exposure, particularly in rent-controlled multifamily properties, and diversifying its loan portfolio amid significant rating downgrades. The bank’s stock has plummeted, and its management is working on a turnaround plan supported by substantial private investment. Meanwhile, some banks such as M&amp;T reported profit declines in early 2024, influenced by higher deposit costs and increased provisions for potential CRE loan losses, underscoring the sector's uneven recovery.</w:t>
      </w:r>
      <w:r/>
    </w:p>
    <w:p>
      <w:r/>
      <w:r>
        <w:t>The divergence in CRE loan exposures also reflects the varied risk appetite and regulatory environments across banks of different sizes. Smaller banks often have much higher proportions of their portfolios concentrated in commercial real estate, sometimes exceeding 48%, compared to around 13% for the largest institutions. This imbalance exposes smaller lenders to disproportionate risks if CRE loan delinquencies rise, potentially affecting their financial health.</w:t>
      </w:r>
      <w:r/>
    </w:p>
    <w:p>
      <w:r/>
      <w:r>
        <w:t>In sum, the U.S. commercial real estate lending market is experiencing a significant structural shift. While traditional banks cautiously reduce exposure and await clearer market conditions, private credit continues to aggressively allocate capital, leveraging flexibility and risk tolerance. This environment suggests a continuing competitive tension with implications for deal structures, pricing, and the future shape of CRE finance.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(Bisnow)</w:t>
      </w:r>
      <w:r/>
    </w:p>
    <w:p>
      <w:pPr>
        <w:pStyle w:val="ListBullet"/>
        <w:spacing w:line="240" w:lineRule="auto"/>
        <w:ind w:left="720"/>
      </w:pPr>
      <w:r/>
      <w:r>
        <w:t xml:space="preserve">Paragraph 2 – </w:t>
      </w:r>
      <w:hyperlink r:id="rId9">
        <w:r>
          <w:rPr>
            <w:color w:val="0000EE"/>
            <w:u w:val="single"/>
          </w:rPr>
          <w:t>[1]</w:t>
        </w:r>
      </w:hyperlink>
      <w:r>
        <w:t xml:space="preserve"> (Bisnow)</w:t>
      </w:r>
      <w:r/>
    </w:p>
    <w:p>
      <w:pPr>
        <w:pStyle w:val="ListBullet"/>
        <w:spacing w:line="240" w:lineRule="auto"/>
        <w:ind w:left="720"/>
      </w:pPr>
      <w:r/>
      <w:r>
        <w:t xml:space="preserve">Paragraph 3 – </w:t>
      </w:r>
      <w:hyperlink r:id="rId9">
        <w:r>
          <w:rPr>
            <w:color w:val="0000EE"/>
            <w:u w:val="single"/>
          </w:rPr>
          <w:t>[1]</w:t>
        </w:r>
      </w:hyperlink>
      <w:r>
        <w:t xml:space="preserve"> (Bisnow)</w:t>
      </w:r>
      <w:r/>
    </w:p>
    <w:p>
      <w:pPr>
        <w:pStyle w:val="ListBullet"/>
        <w:spacing w:line="240" w:lineRule="auto"/>
        <w:ind w:left="720"/>
      </w:pPr>
      <w:r/>
      <w:r>
        <w:t xml:space="preserve">Paragraph 4 – </w:t>
      </w:r>
      <w:hyperlink r:id="rId9">
        <w:r>
          <w:rPr>
            <w:color w:val="0000EE"/>
            <w:u w:val="single"/>
          </w:rPr>
          <w:t>[1]</w:t>
        </w:r>
      </w:hyperlink>
      <w:r>
        <w:t xml:space="preserve"> (Bisnow)</w:t>
      </w:r>
      <w:r/>
    </w:p>
    <w:p>
      <w:pPr>
        <w:pStyle w:val="ListBullet"/>
        <w:spacing w:line="240" w:lineRule="auto"/>
        <w:ind w:left="720"/>
      </w:pPr>
      <w:r/>
      <w:r>
        <w:t xml:space="preserve">Paragraph 5 – </w:t>
      </w:r>
      <w:hyperlink r:id="rId9">
        <w:r>
          <w:rPr>
            <w:color w:val="0000EE"/>
            <w:u w:val="single"/>
          </w:rPr>
          <w:t>[1]</w:t>
        </w:r>
      </w:hyperlink>
      <w:r>
        <w:t xml:space="preserve"> (Bisnow)</w:t>
      </w:r>
      <w:r/>
    </w:p>
    <w:p>
      <w:pPr>
        <w:pStyle w:val="ListBullet"/>
        <w:spacing w:line="240" w:lineRule="auto"/>
        <w:ind w:left="720"/>
      </w:pPr>
      <w:r/>
      <w:r>
        <w:t xml:space="preserve">Paragraph 6 – </w:t>
      </w:r>
      <w:hyperlink r:id="rId9">
        <w:r>
          <w:rPr>
            <w:color w:val="0000EE"/>
            <w:u w:val="single"/>
          </w:rPr>
          <w:t>[1]</w:t>
        </w:r>
      </w:hyperlink>
      <w:r>
        <w:t xml:space="preserve"> (Bisnow), </w:t>
      </w:r>
      <w:hyperlink r:id="rId10">
        <w:r>
          <w:rPr>
            <w:color w:val="0000EE"/>
            <w:u w:val="single"/>
          </w:rPr>
          <w:t>[4]</w:t>
        </w:r>
      </w:hyperlink>
      <w:r>
        <w:t xml:space="preserve"> (Reuters), </w:t>
      </w:r>
      <w:hyperlink r:id="rId11">
        <w:r>
          <w:rPr>
            <w:color w:val="0000EE"/>
            <w:u w:val="single"/>
          </w:rPr>
          <w:t>[2]</w:t>
        </w:r>
      </w:hyperlink>
      <w:r>
        <w:t xml:space="preserve"> (Reuters)</w:t>
      </w:r>
      <w:r/>
    </w:p>
    <w:p>
      <w:pPr>
        <w:pStyle w:val="ListBullet"/>
        <w:spacing w:line="240" w:lineRule="auto"/>
        <w:ind w:left="720"/>
      </w:pPr>
      <w:r/>
      <w:r>
        <w:t xml:space="preserve">Paragraph 7 – </w:t>
      </w:r>
      <w:hyperlink r:id="rId9">
        <w:r>
          <w:rPr>
            <w:color w:val="0000EE"/>
            <w:u w:val="single"/>
          </w:rPr>
          <w:t>[1]</w:t>
        </w:r>
      </w:hyperlink>
      <w:r>
        <w:t xml:space="preserve"> (Bisnow)</w:t>
      </w:r>
      <w:r/>
    </w:p>
    <w:p>
      <w:pPr>
        <w:pStyle w:val="ListBullet"/>
        <w:spacing w:line="240" w:lineRule="auto"/>
        <w:ind w:left="720"/>
      </w:pPr>
      <w:r/>
      <w:r>
        <w:t xml:space="preserve">Paragraph 8 – </w:t>
      </w:r>
      <w:hyperlink r:id="rId9">
        <w:r>
          <w:rPr>
            <w:color w:val="0000EE"/>
            <w:u w:val="single"/>
          </w:rPr>
          <w:t>[1]</w:t>
        </w:r>
      </w:hyperlink>
      <w:r>
        <w:t xml:space="preserve"> (Bisnow)</w:t>
      </w:r>
      <w:r/>
    </w:p>
    <w:p>
      <w:pPr>
        <w:pStyle w:val="ListBullet"/>
        <w:spacing w:line="240" w:lineRule="auto"/>
        <w:ind w:left="720"/>
      </w:pPr>
      <w:r/>
      <w:r>
        <w:t xml:space="preserve">Paragraph 9 – </w:t>
      </w:r>
      <w:hyperlink r:id="rId12">
        <w:r>
          <w:rPr>
            <w:color w:val="0000EE"/>
            <w:u w:val="single"/>
          </w:rPr>
          <w:t>[3]</w:t>
        </w:r>
      </w:hyperlink>
      <w:r>
        <w:t xml:space="preserve"> (Reuters), </w:t>
      </w:r>
      <w:hyperlink r:id="rId13">
        <w:r>
          <w:rPr>
            <w:color w:val="0000EE"/>
            <w:u w:val="single"/>
          </w:rPr>
          <w:t>[5]</w:t>
        </w:r>
      </w:hyperlink>
      <w:r>
        <w:t xml:space="preserve"> (Reuters)</w:t>
      </w:r>
      <w:r/>
    </w:p>
    <w:p>
      <w:pPr>
        <w:pStyle w:val="ListBullet"/>
        <w:spacing w:line="240" w:lineRule="auto"/>
        <w:ind w:left="720"/>
      </w:pPr>
      <w:r/>
      <w:r>
        <w:t xml:space="preserve">Paragraph 10 – </w:t>
      </w:r>
      <w:hyperlink r:id="rId14">
        <w:r>
          <w:rPr>
            <w:color w:val="0000EE"/>
            <w:u w:val="single"/>
          </w:rPr>
          <w:t>[6]</w:t>
        </w:r>
      </w:hyperlink>
      <w:r>
        <w:t xml:space="preserve"> (Reuters), </w:t>
      </w:r>
      <w:hyperlink r:id="rId11">
        <w:r>
          <w:rPr>
            <w:color w:val="0000EE"/>
            <w:u w:val="single"/>
          </w:rPr>
          <w:t>[2]</w:t>
        </w:r>
      </w:hyperlink>
      <w:r>
        <w:t xml:space="preserve"> (Reuters)</w:t>
      </w:r>
      <w:r/>
    </w:p>
    <w:p>
      <w:pPr>
        <w:pStyle w:val="ListBullet"/>
        <w:spacing w:line="240" w:lineRule="auto"/>
        <w:ind w:left="720"/>
      </w:pPr>
      <w:r/>
      <w:r>
        <w:t xml:space="preserve">Paragraph 11 – </w:t>
      </w:r>
      <w:hyperlink r:id="rId15">
        <w:r>
          <w:rPr>
            <w:color w:val="0000EE"/>
            <w:u w:val="single"/>
          </w:rPr>
          <w:t>[7]</w:t>
        </w:r>
      </w:hyperlink>
      <w:r>
        <w:t xml:space="preserve"> (S&amp;P Global)</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https://www.bisnow.com/national/news/capital-markets/cautious-banks-cede-ground-to-private-capital-chasing-cre-debt-131470</w:t>
        </w:r>
      </w:hyperlink>
      <w:r>
        <w:t xml:space="preserve"> - Please view link - unable to able to access data</w:t>
      </w:r>
      <w:r/>
    </w:p>
    <w:p>
      <w:pPr>
        <w:pStyle w:val="ListNumber"/>
        <w:spacing w:line="240" w:lineRule="auto"/>
        <w:ind w:left="720"/>
      </w:pPr>
      <w:r/>
      <w:hyperlink r:id="rId11">
        <w:r>
          <w:rPr>
            <w:color w:val="0000EE"/>
            <w:u w:val="single"/>
          </w:rPr>
          <w:t>https://www.reuters.com/business/finance/mt-bank-profit-slumps-lower-interest-income-bigger-rainy-day-funds-2024-04-15/</w:t>
        </w:r>
      </w:hyperlink>
      <w:r>
        <w:t xml:space="preserve"> - M&amp;T Bank reported a 25% decline in first-quarter profits due to higher deposit costs reducing interest income and the need to increase provisions for potential credit losses in the commercial real estate (CRE) sector. Net interest income decreased by 8% to $1.68 billion, while net income available to common shareholders dropped to $505 million, or $3.02 per share, from $676 million, or $4.01 per share, the previous year. The bank's provisions for credit losses increased to $200 million from $120 million, influenced by changes in remote work patterns and fluctuating property values. Additionally, M&amp;T Bank incurred a $29 million expense to replenish a government deposit insurance fund, affected by the failure of Silicon Valley Bank and Signature Bank. Despite challenges, M&amp;T Bank has made efforts to grow other loan sectors while reducing its CRE exposure.</w:t>
      </w:r>
      <w:r/>
    </w:p>
    <w:p>
      <w:pPr>
        <w:pStyle w:val="ListNumber"/>
        <w:spacing w:line="240" w:lineRule="auto"/>
        <w:ind w:left="720"/>
      </w:pPr>
      <w:r/>
      <w:hyperlink r:id="rId12">
        <w:r>
          <w:rPr>
            <w:color w:val="0000EE"/>
            <w:u w:val="single"/>
          </w:rPr>
          <w:t>https://www.reuters.com/business/finance/german-lender-aareal-hikes-provisions-latest-sign-property-stress-2024-02-29/</w:t>
        </w:r>
      </w:hyperlink>
      <w:r>
        <w:t xml:space="preserve"> - German property lender Aareal has set aside $478 million in provisions for bad loans in 2023, marking its highest loan loss reserves this century. This sharp increase, more than double the previous year's figures, highlights the ongoing challenges in the commercial real estate sector, particularly in the US and Germany. A downturn in commercial property prices, exacerbated by declining demand and refinancing hurdles, has led to rising investor concerns and bank stress. Aareal's German competitor, Deutsche Pfandbriefbank (PBB), has also faced significant pressure, with its shares dropping nearly 40% this year and a recent credit rating downgrade. Both banks stand as major property lenders within Germany, Europe's largest economy, facing a severe real estate market slump characterized by insolvencies and halted construction projects.</w:t>
      </w:r>
      <w:r/>
    </w:p>
    <w:p>
      <w:pPr>
        <w:pStyle w:val="ListNumber"/>
        <w:spacing w:line="240" w:lineRule="auto"/>
        <w:ind w:left="720"/>
      </w:pPr>
      <w:r/>
      <w:hyperlink r:id="rId10">
        <w:r>
          <w:rPr>
            <w:color w:val="0000EE"/>
            <w:u w:val="single"/>
          </w:rPr>
          <w:t>https://www.reuters.com/business/finance/wells-fargo-may-lose-2-3-billion-its-cre-office-loan-portfolio-ceo-says-2024-10-24/</w:t>
        </w:r>
      </w:hyperlink>
      <w:r>
        <w:t xml:space="preserve"> - Wells Fargo's CEO Charlie Scharf announced that the bank could face losses between $2 billion to $3 billion on its office building loan portfolio over the next three to four years. Despite having reserved for these losses, Scharf noted that the commercial real estate sector is generally performing well, with reduced concerns as interest rates decline. However, a sustained drop in demand is expected to lead to these losses. The bank's CFO Michael Santomassimo had previously warned of uneven losses in the office loan portfolio. Despite these challenges, Wells Fargo exceeded analyst expectations in its third-quarter earnings, and Scharf highlighted the strong performance of the U.S. consumer market. The bank is also focusing on lifting the Federal Reserve-imposed $1.95 trillion asset cap stemming from the 2016 fake accounts scandal, which limits its ability to grow through more deposits and an expanded trading business.</w:t>
      </w:r>
      <w:r/>
    </w:p>
    <w:p>
      <w:pPr>
        <w:pStyle w:val="ListNumber"/>
        <w:spacing w:line="240" w:lineRule="auto"/>
        <w:ind w:left="720"/>
      </w:pPr>
      <w:r/>
      <w:hyperlink r:id="rId13">
        <w:r>
          <w:rPr>
            <w:color w:val="0000EE"/>
            <w:u w:val="single"/>
          </w:rPr>
          <w:t>https://www.reuters.com/markets/europe/ubs-flags-commercial-real-estate-downturn-top-risk-2024-03-28/</w:t>
        </w:r>
      </w:hyperlink>
      <w:r>
        <w:t xml:space="preserve"> - UBS highlighted the downturn in commercial real estate as one of the significant emerging risks it faces, driven by higher borrowing costs and reduced demand for office space post-pandemic. The slowdown in commercial property markets in the US and Europe is the most severe since the 2008-9 financial crisis. UBS's exposure to this sector rose to $55.09 billion in 2023 from $47.1 billion in 2022, partly due to acquiring Credit Suisse. Other major risks identified include inflation and geopolitical issues. The IMF noted vulnerabilities in Switzerland's real estate sector despite the financial sector's resilience. UBS aims for substantial reductions in emissions from its property lending, targeting a 45% cut in its Swiss residential property book’s emissions by 2030 and 48% for its commercial properties.</w:t>
      </w:r>
      <w:r/>
    </w:p>
    <w:p>
      <w:pPr>
        <w:pStyle w:val="ListNumber"/>
        <w:spacing w:line="240" w:lineRule="auto"/>
        <w:ind w:left="720"/>
      </w:pPr>
      <w:r/>
      <w:hyperlink r:id="rId14">
        <w:r>
          <w:rPr>
            <w:color w:val="0000EE"/>
            <w:u w:val="single"/>
          </w:rPr>
          <w:t>https://www.reuters.com/business/finance/nycb-faces-tough-choices-cre-loans-balance-sheet-diversification-2024-04-24/</w:t>
        </w:r>
      </w:hyperlink>
      <w:r>
        <w:t xml:space="preserve"> - New York Community Bancorp (NYCB) is undergoing significant challenges as it seeks to stabilize its finances after substantial losses in its commercial real estate (CRE) loan sector. The bank's new management, led by former Comptroller of the Currency Joseph Otting, plans to unveil a turnaround strategy to address the $6 billion market value drop and subsequent ratings downgrades. A $1 billion investment from Liberty Strategic Capital has temporarily shored up NYCB, but the bank must reduce its CRE exposure and diversify its revenue streams. Approximately 44% of NYCB's loans are in multi-family apartment blocks, with many subject to rent control, reducing their attractiveness. Selling these loans at a discount is essential, but finding premium deals is challenging due to market conditions and elevated interest rates. NYCB's share price has plummeted 70% this year. Investors await clarity on the bank's credit quality, capital adequacy, and future earnings. NYCB is also integrating $33.5 billion in deposits and $11.7 billion in loans from its acquisition of Signature Bank, aiming for long-term diversification and compliance improvements.</w:t>
      </w:r>
      <w:r/>
    </w:p>
    <w:p>
      <w:pPr>
        <w:pStyle w:val="ListNumber"/>
        <w:spacing w:line="240" w:lineRule="auto"/>
        <w:ind w:left="720"/>
      </w:pPr>
      <w:r/>
      <w:hyperlink r:id="rId15">
        <w:r>
          <w:rPr>
            <w:color w:val="0000EE"/>
            <w:u w:val="single"/>
          </w:rPr>
          <w:t>https://www.spglobal.com/market-intelligence/en/news-insights/research/2024/08/u-s-banks-and-commercial-real-estate-loans</w:t>
        </w:r>
      </w:hyperlink>
      <w:r>
        <w:t xml:space="preserve"> - According to the Visible Alpha consensus analysis of 104 U.S. banks with CRE exposure, smaller banks with total assets between $0-$10 billion have approximately 48.2% of their total loans tied to commercial properties. In contrast, larger banks with assets exceeding $100 billion are estimated to have a more modest 13.2% exposure to commercial loans in 2024. Some of this can be understood as smaller banks are local lenders and have a competitive advantage in their local geographies. At the same time, the larger banks have been subject to greater regulatory scrutiny which has discouraged them from expanding their CRE loan portfolios. However, this discrepancy underscores the risk faced by smaller and to some extent mid-sized banks that lack diversified portfolios, potentially leading to issues with commercial loan delinquency impacting their overall financial health.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national/news/capital-markets/cautious-banks-cede-ground-to-private-capital-chasing-cre-debt-131470" TargetMode="External"/><Relationship Id="rId10" Type="http://schemas.openxmlformats.org/officeDocument/2006/relationships/hyperlink" Target="https://www.reuters.com/business/finance/wells-fargo-may-lose-2-3-billion-its-cre-office-loan-portfolio-ceo-says-2024-10-24/" TargetMode="External"/><Relationship Id="rId11" Type="http://schemas.openxmlformats.org/officeDocument/2006/relationships/hyperlink" Target="https://www.reuters.com/business/finance/mt-bank-profit-slumps-lower-interest-income-bigger-rainy-day-funds-2024-04-15/" TargetMode="External"/><Relationship Id="rId12" Type="http://schemas.openxmlformats.org/officeDocument/2006/relationships/hyperlink" Target="https://www.reuters.com/business/finance/german-lender-aareal-hikes-provisions-latest-sign-property-stress-2024-02-29/" TargetMode="External"/><Relationship Id="rId13" Type="http://schemas.openxmlformats.org/officeDocument/2006/relationships/hyperlink" Target="https://www.reuters.com/markets/europe/ubs-flags-commercial-real-estate-downturn-top-risk-2024-03-28/" TargetMode="External"/><Relationship Id="rId14" Type="http://schemas.openxmlformats.org/officeDocument/2006/relationships/hyperlink" Target="https://www.reuters.com/business/finance/nycb-faces-tough-choices-cre-loans-balance-sheet-diversification-2024-04-24/" TargetMode="External"/><Relationship Id="rId15" Type="http://schemas.openxmlformats.org/officeDocument/2006/relationships/hyperlink" Target="https://www.spglobal.com/market-intelligence/en/news-insights/research/2024/08/u-s-banks-and-commercial-real-estate-loan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