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Euronet leverages blockchain alliances to accelerate global payments expansion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Euronet Worldwide, a global leader in payments processing and cross-border transactions, has announced its third quarter financial results for 2025, reflecting steady revenue growth and enhanced financial flexibility amid ongoing economic pressures. The company reported revenues of $1.146 billion for the quarter, marking a 4% increase compared to the same period in 2024, with operating income rising 7% to $195 million and adjusted EBITDA up 8% to $244.6 million. However, net income attributable to Euronet declined to $122 million, translating to $2.75 diluted earnings per share, down from $151.5 million and $3.21 respectively in the prior year. Despite this, adjusted earnings per share showed a notable 19% increase to $3.62.</w:t>
      </w:r>
      <w:r/>
    </w:p>
    <w:p>
      <w:r/>
      <w:r>
        <w:t>Euronet’s performance reflects its commitment to innovation and expansion across its business segments, particularly highlighted by strong momentum in its EFT Processing segment, which saw revenues increase by 10% to $409.4 million and operating income rise 9% to $128.1 million. The segment, which operates a global network of over 57,500 installed ATMs, continues to grow through expanded banking services, merchant acquisitions, and product launches across the U.S., Europe, and Asia. The Money Transfer segment also contributed to growth, with revenues up 3% to $452.4 million and digital transactions rising sharply by 32%, despite headwinds from economic and immigration policy challenges.</w:t>
      </w:r>
      <w:r/>
    </w:p>
    <w:p>
      <w:r/>
      <w:r>
        <w:t>Strategically, Euronet has forged key partnerships that underline its digital transformation ambitions. Notably, the company signed a strategic agreement with Fireblocks to integrate stablecoin technology into its global payment infrastructure. This collaboration aims to enhance treasury operations, reduce pre-funding requirements, and improve liquidity management, thereby facilitating seamless transfer of value between digital assets and local fiat currencies in over 200 countries. By leveraging Fireblocks’ secure stablecoin infrastructure, Euronet positions itself at the forefront of combining traditional payment systems with blockchain technology to drive the next evolution in cross-border payments. Additionally, a Dandelion agreement with Citigroup aims to advance real-time cross-border instant payments, further expanding Euronet’s global money movement capabilities.</w:t>
      </w:r>
      <w:r/>
    </w:p>
    <w:p>
      <w:r/>
      <w:r>
        <w:t>Financially, Euronet has strengthened its balance sheet by completing a $1 billion senior convertible notes offering with a low-interest rate of 0.625%. The proceeds have been used to repay borrowings under the revolving credit facility, enhancing the company’s liquidity and financial flexibility. As of the end of the quarter, Euronet held $1.17 billion in unrestricted cash and cash equivalents and maintained access to about $1.8 billion under its credit facilities. This robust financial position supports ongoing investments in digital innovation, including the pending acquisition of CoreCard, which is expected to accelerate Euronet’s digital transformation strategy.</w:t>
      </w:r>
      <w:r/>
    </w:p>
    <w:p>
      <w:r/>
      <w:r>
        <w:t>Looking ahead, Euronet maintains a positive outlook for 2025, anticipating adjusted earnings per share growth of between 12% and 16% year-over-year. The company acknowledges certain challenges, including economic tightening and immigration pressures globally, which affected some revenue lines. Nonetheless, its diversified portfolio, digital innovation initiatives, and strategic partnerships set a solid foundation for continued growth and leadership in the evolving global payments landscape.</w:t>
      </w:r>
      <w:r/>
    </w:p>
    <w:p>
      <w:r/>
      <w:r>
        <w:t>Euronet’s forward-looking statements emphasize the company’s focus on leveraging its extensive payments network—which includes millions of ATMs, point-of-sale terminals, and digital transaction capabilities—alongside new technologies like stablecoins to make global money movement faster, more secure, and more accessible. The company’s strategic moves indicate a clear alignment with market trends towards integrating traditional financial services with blockchain and digital asset technologies, aiming to position itself as a pioneer in the increasingly digital financial ecosystem.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(Quiver Quant), </w:t>
      </w:r>
      <w:hyperlink r:id="rId9">
        <w:r>
          <w:rPr>
            <w:color w:val="0000EE"/>
            <w:u w:val="single"/>
          </w:rPr>
          <w:t>[3]</w:t>
        </w:r>
      </w:hyperlink>
      <w:r>
        <w:t xml:space="preserve"> (Quiver Quant)</w:t>
      </w:r>
      <w:r/>
    </w:p>
    <w:p>
      <w:pPr>
        <w:pStyle w:val="ListBullet"/>
        <w:spacing w:line="240" w:lineRule="auto"/>
        <w:ind w:left="720"/>
      </w:pPr>
      <w:r/>
      <w:r>
        <w:t xml:space="preserve">Paragraph 2 – </w:t>
      </w:r>
      <w:hyperlink r:id="rId9">
        <w:r>
          <w:rPr>
            <w:color w:val="0000EE"/>
            <w:u w:val="single"/>
          </w:rPr>
          <w:t>[1]</w:t>
        </w:r>
      </w:hyperlink>
      <w:r>
        <w:t xml:space="preserve"> (Quiver Quant)</w:t>
      </w:r>
      <w:r/>
    </w:p>
    <w:p>
      <w:pPr>
        <w:pStyle w:val="ListBullet"/>
        <w:spacing w:line="240" w:lineRule="auto"/>
        <w:ind w:left="720"/>
      </w:pPr>
      <w:r/>
      <w:r>
        <w:t xml:space="preserve">Paragraph 3 – </w:t>
      </w:r>
      <w:hyperlink r:id="rId9">
        <w:r>
          <w:rPr>
            <w:color w:val="0000EE"/>
            <w:u w:val="single"/>
          </w:rPr>
          <w:t>[1]</w:t>
        </w:r>
      </w:hyperlink>
      <w:r>
        <w:t xml:space="preserve"> (Quiver Quant), </w:t>
      </w:r>
      <w:hyperlink r:id="rId10">
        <w:r>
          <w:rPr>
            <w:color w:val="0000EE"/>
            <w:u w:val="single"/>
          </w:rPr>
          <w:t>[2]</w:t>
        </w:r>
      </w:hyperlink>
      <w:r>
        <w:t xml:space="preserve"> (Euronet Worldwide)</w:t>
      </w:r>
      <w:r/>
    </w:p>
    <w:p>
      <w:pPr>
        <w:pStyle w:val="ListBullet"/>
        <w:spacing w:line="240" w:lineRule="auto"/>
        <w:ind w:left="720"/>
      </w:pPr>
      <w:r/>
      <w:r>
        <w:t xml:space="preserve">Paragraph 4 – </w:t>
      </w:r>
      <w:hyperlink r:id="rId9">
        <w:r>
          <w:rPr>
            <w:color w:val="0000EE"/>
            <w:u w:val="single"/>
          </w:rPr>
          <w:t>[1]</w:t>
        </w:r>
      </w:hyperlink>
      <w:r>
        <w:t xml:space="preserve"> (Quiver Quant), </w:t>
      </w:r>
      <w:hyperlink r:id="rId9">
        <w:r>
          <w:rPr>
            <w:color w:val="0000EE"/>
            <w:u w:val="single"/>
          </w:rPr>
          <w:t>[3]</w:t>
        </w:r>
      </w:hyperlink>
      <w:r>
        <w:t xml:space="preserve"> (Quiver Quant)</w:t>
      </w:r>
      <w:r/>
    </w:p>
    <w:p>
      <w:pPr>
        <w:pStyle w:val="ListBullet"/>
        <w:spacing w:line="240" w:lineRule="auto"/>
        <w:ind w:left="720"/>
      </w:pPr>
      <w:r/>
      <w:r>
        <w:t xml:space="preserve">Paragraph 5 – </w:t>
      </w:r>
      <w:hyperlink r:id="rId9">
        <w:r>
          <w:rPr>
            <w:color w:val="0000EE"/>
            <w:u w:val="single"/>
          </w:rPr>
          <w:t>[1]</w:t>
        </w:r>
      </w:hyperlink>
      <w:r>
        <w:t xml:space="preserve"> (Quiver Quant), </w:t>
      </w:r>
      <w:hyperlink r:id="rId9">
        <w:r>
          <w:rPr>
            <w:color w:val="0000EE"/>
            <w:u w:val="single"/>
          </w:rPr>
          <w:t>[3]</w:t>
        </w:r>
      </w:hyperlink>
      <w:r>
        <w:t xml:space="preserve"> (Quiver Quant), </w:t>
      </w:r>
      <w:hyperlink r:id="rId10">
        <w:r>
          <w:rPr>
            <w:color w:val="0000EE"/>
            <w:u w:val="single"/>
          </w:rPr>
          <w:t>[2]</w:t>
        </w:r>
      </w:hyperlink>
      <w:r>
        <w:t xml:space="preserve"> (Euronet Worldwide)</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https://www.quiverquant.com/news/Euronet+Announces+Strategic+Agreements+and+Q3+2025+Financial+Results+Highlighting+Revenue+Growth+and+Expanded+Financial+Flexibility</w:t>
        </w:r>
      </w:hyperlink>
      <w:r>
        <w:t xml:space="preserve"> - Please view link - unable to able to access data</w:t>
      </w:r>
      <w:r/>
    </w:p>
    <w:p>
      <w:pPr>
        <w:pStyle w:val="ListNumber"/>
        <w:spacing w:line="240" w:lineRule="auto"/>
        <w:ind w:left="720"/>
      </w:pPr>
      <w:r/>
      <w:hyperlink r:id="rId10">
        <w:r>
          <w:rPr>
            <w:color w:val="0000EE"/>
            <w:u w:val="single"/>
          </w:rPr>
          <w:t>https://www.euronetworldwide.com/use-cases/euronet-integrates-fireblocks-stablecoins/</w:t>
        </w:r>
      </w:hyperlink>
      <w:r>
        <w:t xml:space="preserve"> - Euronet has partnered with Fireblocks to integrate stablecoin technology into its global payment infrastructure. This collaboration aims to enhance treasury operations, reduce pre-funding requirements, and improve liquidity management. By leveraging Fireblocks' secure stablecoin infrastructure, Euronet plans to streamline internal treasury functions and support cross-border payment use cases worldwide. The integration is expected to lay the foundation for the next evolution in cross-border payments, combining traditional and blockchain systems to make money movement more efficient and accessible globally.</w:t>
      </w:r>
      <w:r/>
    </w:p>
    <w:p>
      <w:pPr>
        <w:pStyle w:val="ListNumber"/>
        <w:spacing w:line="240" w:lineRule="auto"/>
        <w:ind w:left="720"/>
      </w:pPr>
      <w:r/>
      <w:hyperlink r:id="rId9">
        <w:r>
          <w:rPr>
            <w:color w:val="0000EE"/>
            <w:u w:val="single"/>
          </w:rPr>
          <w:t>https://www.quiverquant.com/news/Euronet+Announces+Strategic+Agreements+and+Q3+2025+Financial+Results+Highlighting+Revenue+Growth+and+Expanded+Financial+Flexibility</w:t>
        </w:r>
      </w:hyperlink>
      <w:r>
        <w:t xml:space="preserve"> - Euronet Worldwide, a global leader in payments processing, announced its third quarter 2025 results, revealing a 4% increase in revenues to $1.145 billion and a 7% rise in operating income to $195 million compared to the same quarter in 2024. Adjusted EBITDA grew by 8% to $244.6 million, while net income attributable to Euronet decreased to $122 million, equating to $2.75 earnings per share. The company noted strong sales momentum in its EFT Processing segment and highlighted strategic agreements, including one with Fireblocks to enhance stablecoin technology. Euronet also secured a $1 billion convertible debt offering to bolster financial flexibility. Despite challenges such as economic pressures and immigration issues affecting revenue growth, the company anticipates 12-16% adjusted earnings per share growth for the year.</w:t>
      </w:r>
      <w:r/>
    </w:p>
    <w:p>
      <w:pPr>
        <w:pStyle w:val="ListNumber"/>
        <w:spacing w:line="240" w:lineRule="auto"/>
        <w:ind w:left="720"/>
      </w:pPr>
      <w:r/>
      <w:hyperlink r:id="rId9">
        <w:r>
          <w:rPr>
            <w:color w:val="0000EE"/>
            <w:u w:val="single"/>
          </w:rPr>
          <w:t>https://www.quiverquant.com/news/Euronet+Announces+Strategic+Agreements+and+Q3+2025+Financial+Results+Highlighting+Revenue+Growth+and+Expanded+Financial+Flexibility</w:t>
        </w:r>
      </w:hyperlink>
      <w:r>
        <w:t xml:space="preserve"> - Euronet Worldwide, a global leader in payments processing, announced its third quarter 2025 results, revealing a 4% increase in revenues to $1.145 billion and a 7% rise in operating income to $195 million compared to the same quarter in 2024. Adjusted EBITDA grew by 8% to $244.6 million, while net income attributable to Euronet decreased to $122 million, equating to $2.75 earnings per share. The company noted strong sales momentum in its EFT Processing segment and highlighted strategic agreements, including one with Fireblocks to enhance stablecoin technology. Euronet also secured a $1 billion convertible debt offering to bolster financial flexibility. Despite challenges such as economic pressures and immigration issues affecting revenue growth, the company anticipates 12-16% adjusted earnings per share growth for the year.</w:t>
      </w:r>
      <w:r/>
    </w:p>
    <w:p>
      <w:pPr>
        <w:pStyle w:val="ListNumber"/>
        <w:spacing w:line="240" w:lineRule="auto"/>
        <w:ind w:left="720"/>
      </w:pPr>
      <w:r/>
      <w:hyperlink r:id="rId9">
        <w:r>
          <w:rPr>
            <w:color w:val="0000EE"/>
            <w:u w:val="single"/>
          </w:rPr>
          <w:t>https://www.quiverquant.com/news/Euronet+Announces+Strategic+Agreements+and+Q3+2025+Financial+Results+Highlighting+Revenue+Growth+and+Expanded+Financial+Flexibility</w:t>
        </w:r>
      </w:hyperlink>
      <w:r>
        <w:t xml:space="preserve"> - Euronet Worldwide, a global leader in payments processing, announced its third quarter 2025 results, revealing a 4% increase in revenues to $1.145 billion and a 7% rise in operating income to $195 million compared to the same quarter in 2024. Adjusted EBITDA grew by 8% to $244.6 million, while net income attributable to Euronet decreased to $122 million, equating to $2.75 earnings per share. The company noted strong sales momentum in its EFT Processing segment and highlighted strategic agreements, including one with Fireblocks to enhance stablecoin technology. Euronet also secured a $1 billion convertible debt offering to bolster financial flexibility. Despite challenges such as economic pressures and immigration issues affecting revenue growth, the company anticipates 12-16% adjusted earnings per share growth for the year.</w:t>
      </w:r>
      <w:r/>
    </w:p>
    <w:p>
      <w:pPr>
        <w:pStyle w:val="ListNumber"/>
        <w:spacing w:line="240" w:lineRule="auto"/>
        <w:ind w:left="720"/>
      </w:pPr>
      <w:r/>
      <w:hyperlink r:id="rId9">
        <w:r>
          <w:rPr>
            <w:color w:val="0000EE"/>
            <w:u w:val="single"/>
          </w:rPr>
          <w:t>https://www.quiverquant.com/news/Euronet+Announces+Strategic+Agreements+and+Q3+2025+Financial+Results+Highlighting+Revenue+Growth+and+Expanded+Financial+Flexibility</w:t>
        </w:r>
      </w:hyperlink>
      <w:r>
        <w:t xml:space="preserve"> - Euronet Worldwide, a global leader in payments processing, announced its third quarter 2025 results, revealing a 4% increase in revenues to $1.145 billion and a 7% rise in operating income to $195 million compared to the same quarter in 2024. Adjusted EBITDA grew by 8% to $244.6 million, while net income attributable to Euronet decreased to $122 million, equating to $2.75 earnings per share. The company noted strong sales momentum in its EFT Processing segment and highlighted strategic agreements, including one with Fireblocks to enhance stablecoin technology. Euronet also secured a $1 billion convertible debt offering to bolster financial flexibility. Despite challenges such as economic pressures and immigration issues affecting revenue growth, the company anticipates 12-16% adjusted earnings per share growth for the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iverquant.com/news/Euronet+Announces+Strategic+Agreements+and+Q3+2025+Financial+Results+Highlighting+Revenue+Growth+and+Expanded+Financial+Flexibility" TargetMode="External"/><Relationship Id="rId10" Type="http://schemas.openxmlformats.org/officeDocument/2006/relationships/hyperlink" Target="https://www.euronetworldwide.com/use-cases/euronet-integrates-fireblocks-stablecoins/"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