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Weakening labour market sparks volatility in crypto trading amid Robert Half warning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Robert Half's recent profit guidance has signalled a notable weakening in the global labour market, with significant implications not only for the staffing sector but also for broader financial markets, including cryptocurrency trading. On October 22, 2025, the staffing giant reported profit forecasts below analyst estimations, citing reduced demand for both temporary and permanent staffing services. This comes against a backdrop of persistent softness in hiring across diverse sectors, reflecting an increasingly cautious corporate landscape. Bloomberg reported that this diminished hiring momentum is a tangible indicator of the economic slowdown reverberating through traditional and digital economies alike.</w:t>
      </w:r>
      <w:r/>
    </w:p>
    <w:p>
      <w:r/>
      <w:r>
        <w:t>This weakening jobs market scenario holds particular significance for cryptocurrency traders. Historically, periods of labour market softness have correlated with lower risk appetite among investors, resulting in subdued inflows into volatile assets such as Bitcoin (BTC) and Ethereum (ETH). Reduced employment often dampens consumer spending and prompts corporations to adopt more conservative postures, which can precipitate a flight to stable assets like USDT stablecoins while pressuring more speculative crypto tokens. Past data, such as the BTC pullbacks in early 2023 that saw declines of up to 15%, illustrate how labour market stresses can heighten volatility in crypto markets before government stimulus interventions encourage recoveries. Savvy traders might therefore find opportunities in options and futures markets to hedge downside risks or accumulate during crypto market dips triggered by labour market concerns.</w:t>
      </w:r>
      <w:r/>
    </w:p>
    <w:p>
      <w:r/>
      <w:r>
        <w:t>The broader financial context further illustrates the interconnectedness of these sectors. Robert Half’s outlook aligns with recent Federal Reserve statements indicating moderating job growth, which may postpone interest rate reductions and maintain elevated yields on traditional investments. This tends to divert capital from cryptocurrencies toward bonds and equities, although it can simultaneously present entry points for long-term crypto holders. On-chain data from platforms like Glassnode shows that Bitcoin’s trading volumes remain robust, averaging over $30 billion in recent days despite economic uncertainties. Intriguingly, AI-focused tokens such as Fetch.ai (FET) and Render Token (RNDR) might experience heightened interest, given that technological advancements aimed at automating jobs could see increased demand even amid a soft labour market.</w:t>
      </w:r>
      <w:r/>
    </w:p>
    <w:p>
      <w:r/>
      <w:r>
        <w:t>From a market performance perspective, the impact of Robert Half's financial challenges is evident. The company's stock dropped by 5% in after-hours trading on the day of the guidance release, reflecting investor concern about the strength of tech-related sectors that typically influence broader indices like the Nasdaq. Institutional flows into crypto products have shown resilience—CoinShares reported inflows of $1.2 billion last week—but a persistent slowdown in hiring could reverse this trend, pressuring investment volumes. For Ethereum, technical analysis points to consolidation near $2,500, with potential for breakouts if economic signals improve, while traders might also explore arbitrage opportunities between spot and derivatives markets to capitalise on emerging mispricings.</w:t>
      </w:r>
      <w:r/>
    </w:p>
    <w:p>
      <w:r/>
      <w:r>
        <w:t>Looking at Robert Half’s recent financial performance deepens the understanding of the labour market pressures. In Q2 2025, the firm experienced a dramatic 98% plunge in operating income to $1.5 million, down from $75.5 million a year earlier, while revenues fell 7% to $1.37 billion. Both the contract talent and permanent placement segments reported double-digit percentage declines in revenue, driven by decreases of 11.1% and 12.5% respectively, alongside rising administrative expenses. Cash reserves were also eroded by over 30%, prompting the company to reduce share repurchases and focus on preserving liquidity. Despite these headwinds, Protiviti, the consulting arm of Robert Half, delivered modest revenue growth, reflecting some segmental resilience in an otherwise challenging environment.</w:t>
      </w:r>
      <w:r/>
    </w:p>
    <w:p>
      <w:r/>
      <w:r>
        <w:t>Additional data presents a more nuanced view of labour market dynamics. Robert Half’s own research reveals a significant shift in worker sentiment, with only 36% of employees planning to look for new roles within the next six months—a sharp drop from 49% in mid-2023. Many workers are prioritising job stability and flexibility, with 44% citing flexible work arrangements as critical and 41% valuing professional fulfilment. This reduced churn suggests a stabilising workforce despite broader economic uncertainties, potentially indicating a longer-term slowdown in hiring demand which could weigh on staffing firms further.</w:t>
      </w:r>
      <w:r/>
    </w:p>
    <w:p>
      <w:r/>
      <w:r>
        <w:t>Market analyst commentary supports a cautious outlook for Robert Half shares. Despite a recent partial recovery, the stock remains 7% lower over the past year, weighed down by ongoing revenue declines and margin pressures. Consensus forecasts may be overly optimistic given the challenging macroeconomic climate, implying that RHI’s earnings growth could be delayed until 2026 or beyond. Analysts are recommending a sell stance, highlighting material downside risk and a protracted recovery timeline, despite the company’s strong balance sheet.</w:t>
      </w:r>
      <w:r/>
    </w:p>
    <w:p>
      <w:r/>
      <w:r>
        <w:t>Overall, the implications of Robert Half’s subdued profit guidance extend beyond immediate staffing sector pain points to affect financial markets broadly, including the fast-evolving cryptocurrency ecosystem. As employment trends weaken, investors across asset classes may recalibrate risk exposures, favouring more defensive positions while remaining alert to volatility-driven trading opportunities. For crypto traders, the situation underscores the importance of vigilant monitoring of labour market indicators alongside traditional financial metrics to navigate the evolving economic landscape effectively.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(Blockchain News)</w:t>
      </w:r>
      <w:r/>
    </w:p>
    <w:p>
      <w:pPr>
        <w:pStyle w:val="ListBullet"/>
        <w:spacing w:line="240" w:lineRule="auto"/>
        <w:ind w:left="720"/>
      </w:pPr>
      <w:r/>
      <w:r>
        <w:t xml:space="preserve">Paragraph 2 – </w:t>
      </w:r>
      <w:hyperlink r:id="rId9">
        <w:r>
          <w:rPr>
            <w:color w:val="0000EE"/>
            <w:u w:val="single"/>
          </w:rPr>
          <w:t>[1]</w:t>
        </w:r>
      </w:hyperlink>
      <w:r>
        <w:t xml:space="preserve"> (Blockchain News)</w:t>
      </w:r>
      <w:r/>
    </w:p>
    <w:p>
      <w:pPr>
        <w:pStyle w:val="ListBullet"/>
        <w:spacing w:line="240" w:lineRule="auto"/>
        <w:ind w:left="720"/>
      </w:pPr>
      <w:r/>
      <w:r>
        <w:t xml:space="preserve">Paragraph 3 – </w:t>
      </w:r>
      <w:hyperlink r:id="rId9">
        <w:r>
          <w:rPr>
            <w:color w:val="0000EE"/>
            <w:u w:val="single"/>
          </w:rPr>
          <w:t>[1]</w:t>
        </w:r>
      </w:hyperlink>
      <w:r>
        <w:t xml:space="preserve"> (Blockchain News)</w:t>
      </w:r>
      <w:r/>
    </w:p>
    <w:p>
      <w:pPr>
        <w:pStyle w:val="ListBullet"/>
        <w:spacing w:line="240" w:lineRule="auto"/>
        <w:ind w:left="720"/>
      </w:pPr>
      <w:r/>
      <w:r>
        <w:t xml:space="preserve">Paragraph 4 – </w:t>
      </w:r>
      <w:hyperlink r:id="rId9">
        <w:r>
          <w:rPr>
            <w:color w:val="0000EE"/>
            <w:u w:val="single"/>
          </w:rPr>
          <w:t>[1]</w:t>
        </w:r>
      </w:hyperlink>
      <w:r>
        <w:t xml:space="preserve"> (Blockchain News), </w:t>
      </w:r>
      <w:hyperlink r:id="rId10">
        <w:r>
          <w:rPr>
            <w:color w:val="0000EE"/>
            <w:u w:val="single"/>
          </w:rPr>
          <w:t>[2]</w:t>
        </w:r>
      </w:hyperlink>
      <w:r>
        <w:t xml:space="preserve"> (Panabee), </w:t>
      </w:r>
      <w:hyperlink r:id="rId11">
        <w:r>
          <w:rPr>
            <w:color w:val="0000EE"/>
            <w:u w:val="single"/>
          </w:rPr>
          <w:t>[4]</w:t>
        </w:r>
      </w:hyperlink>
      <w:r>
        <w:t xml:space="preserve"> (Panabee)</w:t>
      </w:r>
      <w:r/>
    </w:p>
    <w:p>
      <w:pPr>
        <w:pStyle w:val="ListBullet"/>
        <w:spacing w:line="240" w:lineRule="auto"/>
        <w:ind w:left="720"/>
      </w:pPr>
      <w:r/>
      <w:r>
        <w:t xml:space="preserve">Paragraph 5 – </w:t>
      </w:r>
      <w:hyperlink r:id="rId12">
        <w:r>
          <w:rPr>
            <w:color w:val="0000EE"/>
            <w:u w:val="single"/>
          </w:rPr>
          <w:t>[5]</w:t>
        </w:r>
      </w:hyperlink>
      <w:r>
        <w:t xml:space="preserve"> (HCAMag), </w:t>
      </w:r>
      <w:hyperlink r:id="rId13">
        <w:r>
          <w:rPr>
            <w:color w:val="0000EE"/>
            <w:u w:val="single"/>
          </w:rPr>
          <w:t>[7]</w:t>
        </w:r>
      </w:hyperlink>
      <w:r>
        <w:t xml:space="preserve"> (Robert Half Press Release)</w:t>
      </w:r>
      <w:r/>
    </w:p>
    <w:p>
      <w:pPr>
        <w:pStyle w:val="ListBullet"/>
        <w:spacing w:line="240" w:lineRule="auto"/>
        <w:ind w:left="720"/>
      </w:pPr>
      <w:r/>
      <w:r>
        <w:t xml:space="preserve">Paragraph 6 – </w:t>
      </w:r>
      <w:hyperlink r:id="rId14">
        <w:r>
          <w:rPr>
            <w:color w:val="0000EE"/>
            <w:u w:val="single"/>
          </w:rPr>
          <w:t>[3]</w:t>
        </w:r>
      </w:hyperlink>
      <w:r>
        <w:t xml:space="preserve"> (Seeking Alpha), </w:t>
      </w:r>
      <w:hyperlink r:id="rId15">
        <w:r>
          <w:rPr>
            <w:color w:val="0000EE"/>
            <w:u w:val="single"/>
          </w:rPr>
          <w:t>[6]</w:t>
        </w:r>
      </w:hyperlink>
      <w:r>
        <w:t xml:space="preserve"> (Seeking Alpha)</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https://blockchain.news/flashnews/robert-half-rhi-profit-guidance-miss-signals-weakening-labor-market</w:t>
        </w:r>
      </w:hyperlink>
      <w:r>
        <w:t xml:space="preserve"> - Please view link - unable to able to access data</w:t>
      </w:r>
      <w:r/>
    </w:p>
    <w:p>
      <w:pPr>
        <w:pStyle w:val="ListNumber"/>
        <w:spacing w:line="240" w:lineRule="auto"/>
        <w:ind w:left="720"/>
      </w:pPr>
      <w:r/>
      <w:hyperlink r:id="rId10">
        <w:r>
          <w:rPr>
            <w:color w:val="0000EE"/>
            <w:u w:val="single"/>
          </w:rPr>
          <w:t>https://www.panabee.com/news/robert-half-earnings-q2-2025-report</w:t>
        </w:r>
      </w:hyperlink>
      <w:r>
        <w:t xml:space="preserve"> - In the second quarter of 2025, Robert Half, a global talent solutions and business consulting firm, reported a 35% decline in adjusted operating income. The contract talent solutions segment experienced an 11% revenue contraction, while the permanent placement segment saw a 13% decrease. The company also faced a $22 million operating loss in the contract talent segment, a significant reversal from the previous year's $27 million operating income. Additionally, net cash provided by operating activities for the first half of 2025 plummeted 52% to $60 million, compared to $126 million in the same period last year. Despite these challenges, Protiviti, Robert Half's business consulting arm, demonstrated resilience with a 1.5% revenue growth in Q2. To strengthen liquidity, the company secured a new $100 million credit agreement maturing in May 2030 and increased its quarterly dividend by 11% to $0.59 per share. The company continues to invest in AI and digital tools to enhance long-term efficiency and competitive positioning. Investors are also monitoring the resolution of two class-action lawsuits alleging significant unpaid compensation, with management stating that it is not feasible to predict the outcome or range of potential loss.</w:t>
      </w:r>
      <w:r/>
    </w:p>
    <w:p>
      <w:pPr>
        <w:pStyle w:val="ListNumber"/>
        <w:spacing w:line="240" w:lineRule="auto"/>
        <w:ind w:left="720"/>
      </w:pPr>
      <w:r/>
      <w:hyperlink r:id="rId14">
        <w:r>
          <w:rPr>
            <w:color w:val="0000EE"/>
            <w:u w:val="single"/>
          </w:rPr>
          <w:t>https://seekingalpha.com/article/4724746-robert-half-further-downside-with-results-not-yet-at-the-bottom</w:t>
        </w:r>
      </w:hyperlink>
      <w:r>
        <w:t xml:space="preserve"> - Robert Half has underperformed due to a weaker labor market, with shares declining 7% over the past year despite a recent 10% rebound. The company missed earnings expectations last quarter, with revenue falling 10%, and management expects continued revenue decline and margin pressure. The macroeconomic environment, including a softening labor market and margin pressures, suggests that RHI's earnings growth is unlikely until at least 2026. Despite a strong balance sheet, shares remain expensive, and the recommendation is to sell due to material downside risk and prolonged recovery timeline.</w:t>
      </w:r>
      <w:r/>
    </w:p>
    <w:p>
      <w:pPr>
        <w:pStyle w:val="ListNumber"/>
        <w:spacing w:line="240" w:lineRule="auto"/>
        <w:ind w:left="720"/>
      </w:pPr>
      <w:r/>
      <w:hyperlink r:id="rId11">
        <w:r>
          <w:rPr>
            <w:color w:val="0000EE"/>
            <w:u w:val="single"/>
          </w:rPr>
          <w:t>https://www.panabee.com/news/robert-half-earnings-q2-2025</w:t>
        </w:r>
      </w:hyperlink>
      <w:r>
        <w:t xml:space="preserve"> - In the second quarter of 2025, Robert Half, a global talent solutions and business consulting firm, faced a challenging period marked by a 98% plunge in operating income, falling to just $1.5 million from $75.5 million in Q2 2024. Total revenue for the quarter decreased by 7% to $1.37 billion, driven by an 11.1% drop in Contract Talent Solutions and a 12.5% decrease in Permanent Placement revenues. The company's inability to control costs relative to falling sales led to a significant increase in selling, general, and administrative expenses. Financially, cash and cash equivalents decreased by 30.5% to $380.5 million, while total current liabilities rose by 4.7% to $1.323 billion. Amidst these challenges, the Protiviti business consulting segment showed resilience with a 1.8% revenue increase. In response to economic uncertainties, Robert Half reduced share repurchases by 32%, indicating a focus on cash preservation and balance sheet fortification.</w:t>
      </w:r>
      <w:r/>
    </w:p>
    <w:p>
      <w:pPr>
        <w:pStyle w:val="ListNumber"/>
        <w:spacing w:line="240" w:lineRule="auto"/>
        <w:ind w:left="720"/>
      </w:pPr>
      <w:r/>
      <w:hyperlink r:id="rId12">
        <w:r>
          <w:rPr>
            <w:color w:val="0000EE"/>
            <w:u w:val="single"/>
          </w:rPr>
          <w:t>https://www.hcamag.com/us/news/general/job-market-shows-signs-of-stability-as-workers-opt-for-longevity/476572</w:t>
        </w:r>
      </w:hyperlink>
      <w:r>
        <w:t xml:space="preserve"> - A recent report by Robert Half indicates a notable shift in the labour market, with only 36% of workers expressing intentions to seek new employment within the next six months, a significant decrease from 49% in July 2023. This trend suggests greater job stability and a reluctance among employees to change jobs. Key factors contributing to this inclination include the availability of flexible work arrangements, deemed indispensable by 44% of respondents, and professional fulfilment, valued by 41%. The report highlights that workers are prioritising stability and flexibility in their current roles over seeking new opportunities.</w:t>
      </w:r>
      <w:r/>
    </w:p>
    <w:p>
      <w:pPr>
        <w:pStyle w:val="ListNumber"/>
        <w:spacing w:line="240" w:lineRule="auto"/>
        <w:ind w:left="720"/>
      </w:pPr>
      <w:r/>
      <w:hyperlink r:id="rId15">
        <w:r>
          <w:rPr>
            <w:color w:val="0000EE"/>
            <w:u w:val="single"/>
          </w:rPr>
          <w:t>https://seekingalpha.com/article/4661570-fewer-job-openings-will-be-a-headwind-for-robert-half</w:t>
        </w:r>
      </w:hyperlink>
      <w:r>
        <w:t xml:space="preserve"> - Robert Half's shares have returned towards a 52-week high but remain below their 2022 peak, and consensus expectations for the company appear too high. The company's revenue has fallen for three quarters as the jobs market has normalised and job openings have declined. Slowing labour market churn and declining job openings in the financial industry create a difficult backdrop for Robert Half, and ongoing revenue declines are likely to impact the bottom line.</w:t>
      </w:r>
      <w:r/>
    </w:p>
    <w:p>
      <w:pPr>
        <w:pStyle w:val="ListNumber"/>
        <w:spacing w:line="240" w:lineRule="auto"/>
        <w:ind w:left="720"/>
      </w:pPr>
      <w:r/>
      <w:hyperlink r:id="rId13">
        <w:r>
          <w:rPr>
            <w:color w:val="0000EE"/>
            <w:u w:val="single"/>
          </w:rPr>
          <w:t>https://press.roberthalf.com/2025-07-31-Career-Considerations-Robert-Half-Research-Finds-73-of-Workers-Plan-to-Stay-in-Their-Current-Roles-Through-2025</w:t>
        </w:r>
      </w:hyperlink>
      <w:r>
        <w:t xml:space="preserve"> - New research from talent solutions and business consulting firm Robert Half indicates most workers plan to stay in their current roles – at least for now. The survey of more than 2,000 U.S. professionals found that only 27% of workers plan to proactively look for a new job in the second half of the year– down from 29% in January and 35% one year ago. Of the 73% of workers planning to stay in their current roles, more than one-third (37%) say they value their current level of flexibility and do not want to risk losing 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ckchain.news/flashnews/robert-half-rhi-profit-guidance-miss-signals-weakening-labor-market" TargetMode="External"/><Relationship Id="rId10" Type="http://schemas.openxmlformats.org/officeDocument/2006/relationships/hyperlink" Target="https://www.panabee.com/news/robert-half-earnings-q2-2025-report" TargetMode="External"/><Relationship Id="rId11" Type="http://schemas.openxmlformats.org/officeDocument/2006/relationships/hyperlink" Target="https://www.panabee.com/news/robert-half-earnings-q2-2025" TargetMode="External"/><Relationship Id="rId12" Type="http://schemas.openxmlformats.org/officeDocument/2006/relationships/hyperlink" Target="https://www.hcamag.com/us/news/general/job-market-shows-signs-of-stability-as-workers-opt-for-longevity/476572" TargetMode="External"/><Relationship Id="rId13" Type="http://schemas.openxmlformats.org/officeDocument/2006/relationships/hyperlink" Target="https://press.roberthalf.com/2025-07-31-Career-Considerations-Robert-Half-Research-Finds-73-of-Workers-Plan-to-Stay-in-Their-Current-Roles-Through-2025" TargetMode="External"/><Relationship Id="rId14" Type="http://schemas.openxmlformats.org/officeDocument/2006/relationships/hyperlink" Target="https://seekingalpha.com/article/4724746-robert-half-further-downside-with-results-not-yet-at-the-bottom" TargetMode="External"/><Relationship Id="rId15" Type="http://schemas.openxmlformats.org/officeDocument/2006/relationships/hyperlink" Target="https://seekingalpha.com/article/4661570-fewer-job-openings-will-be-a-headwind-for-robert-hal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