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London LM launches £1 billion UK care home investment strategy amid soaring market activity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Royal London Asset Management (RLAM) has launched a pioneering £1 billion investment strategy targeting the UK care home property sector, an area where institutional investors have been largely absent despite the pressing demographic demand. With Britain’s ageing population steadily growing, the care home market presents a unique investment opportunity, yet more care homes are closing than opening across the country. RLAM aims to change the investment landscape through a specially formed non-listed Real Estate Investment Trust (REIT) that focuses on high-sustainability, purpose-built care home properties throughout the UK.</w:t>
      </w:r>
      <w:r/>
    </w:p>
    <w:p>
      <w:r/>
      <w:r>
        <w:t>The REIT, established on 1 October, serves as a platform to consolidate RLAM’s healthcare property portfolio and attract third-party capital while utilising tax-efficient mechanisms. Mark Evans, RLAM’s Head of Property and Commercial Development, highlighted that the REIT structure allows the rebasing of capital gains from developer-held assets, thus eliminating tax liabilities and making acquisitions more financially viable. So far, RLAM has deployed around £350 million across 25 care homes in England, working with seven different operators, and plans to invest up to £1 billion initially, with annual targets of £200 million to £300 million in new development projects.</w:t>
      </w:r>
      <w:r/>
    </w:p>
    <w:p>
      <w:r/>
      <w:r>
        <w:t>The UK care home market, valued at approximately £26 billion as of December 2024, is highly fragmented. The independent sector accounts for 90% of care home supply across the country, split between 78% for-profit and 12% not-for-profit organisations. The largest ten for-profit providers control about 18% of the market, while small and medium-sized providers make up the majority of bed capacity. This diverse landscape opens numerous opportunities for investment, particularly in modern, purpose-built facilities that align with RLAM’s sustainability goals, which include features such as solar panels, ground-source heat pumps, and battery storage to enhance energy efficiency and reduce operating costs for tenants.</w:t>
      </w:r>
      <w:r/>
    </w:p>
    <w:p>
      <w:r/>
      <w:r>
        <w:t>Beyond financial returns, RLAM emphasises the social importance of these investments. Evans noted that their mutual ethos drives investment decisions, focusing on sectors that endure and align with demographic trends like ageing populations. Their healthcare property investments offer bond-like security with long lease terms—typically 30 to 35 years—and rental agreements indexed to retail price inflation. These stable income streams appeal to institutional investors seeking socially responsible, low-risk returns. RLAM also works closely with its healthcare delivery partner Shoreline Partners, which was integrated in-house recently, to monitor operational risks and ensure quality and resilience among care operators, including staff stability and cost management.</w:t>
      </w:r>
      <w:r/>
    </w:p>
    <w:p>
      <w:r/>
      <w:r>
        <w:t>The UK care home sector itself has seen a surge of capital inflows recently, reaching record levels. Investment volumes hit £4 billion in the 12 months since July 2024 and £1.75 billion in the first half of 2025 alone, more than doubling the previous year’s figures. This robust activity has been driven predominantly by United States investors, who accounted for over 70% of transactions in the first half of 2025, up from 56% the year before. US firms have been attracted by the market’s strong fundamentals, including high occupancy rates nearing 90% and rising care fees. These fees, often subsidised by councils and paid by residents, hit a record average weekly rate of £1,260 in early 2025, influenced by increases in the National Living Wage and Employers' National Insurance costs.</w:t>
      </w:r>
      <w:r/>
    </w:p>
    <w:p>
      <w:r/>
      <w:r>
        <w:t>Cushman &amp; Wakefield, which tracks healthcare real estate markets, notes heightened interest not only in premium care home assets but also in midmarket properties, with investors targeting Grade B and C stock due to its fragmented ownership and attractive pricing. The investment environment is marked by notable high-value portfolio transactions such as CareTrust REIT’s £640 million acquisition of Care REIT, signalling confidence in long-term sector prospects despite operational cost pressures.</w:t>
      </w:r>
      <w:r/>
    </w:p>
    <w:p>
      <w:r/>
      <w:r>
        <w:t>Analysis by property experts like Savills corroborates the UK’s status as Europe’s most attractive care home investment market, due to strong fee uplifts, relatively low bed supply, and a diverse array of real estate portfolios. This favourable environment, coupled with RLAM’s strategic approach combining sustainability, demographic alignment, and a mutual ethos, positions the asset manager to play a significant role in addressing the UK’s care home supply shortage while delivering stable, socially responsible returns to investors.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(Bisnow), </w:t>
      </w:r>
      <w:hyperlink r:id="rId9">
        <w:r>
          <w:rPr>
            <w:color w:val="0000EE"/>
            <w:u w:val="single"/>
          </w:rPr>
          <w:t>[2]</w:t>
        </w:r>
      </w:hyperlink>
      <w:r>
        <w:t xml:space="preserve"> (Bisnow) </w:t>
      </w:r>
      <w:r/>
    </w:p>
    <w:p>
      <w:pPr>
        <w:pStyle w:val="ListBullet"/>
        <w:spacing w:line="240" w:lineRule="auto"/>
        <w:ind w:left="720"/>
      </w:pPr>
      <w:r/>
      <w:r>
        <w:t xml:space="preserve">Paragraph 2 – </w:t>
      </w:r>
      <w:hyperlink r:id="rId9">
        <w:r>
          <w:rPr>
            <w:color w:val="0000EE"/>
            <w:u w:val="single"/>
          </w:rPr>
          <w:t>[1]</w:t>
        </w:r>
      </w:hyperlink>
      <w:r>
        <w:t xml:space="preserve"> (Bisnow), </w:t>
      </w:r>
      <w:hyperlink r:id="rId9">
        <w:r>
          <w:rPr>
            <w:color w:val="0000EE"/>
            <w:u w:val="single"/>
          </w:rPr>
          <w:t>[2]</w:t>
        </w:r>
      </w:hyperlink>
      <w:r>
        <w:t xml:space="preserve"> (Bisnow) </w:t>
      </w:r>
      <w:r/>
    </w:p>
    <w:p>
      <w:pPr>
        <w:pStyle w:val="ListBullet"/>
        <w:spacing w:line="240" w:lineRule="auto"/>
        <w:ind w:left="720"/>
      </w:pPr>
      <w:r/>
      <w:r>
        <w:t xml:space="preserve">Paragraph 3 – </w:t>
      </w:r>
      <w:hyperlink r:id="rId9">
        <w:r>
          <w:rPr>
            <w:color w:val="0000EE"/>
            <w:u w:val="single"/>
          </w:rPr>
          <w:t>[1]</w:t>
        </w:r>
      </w:hyperlink>
      <w:r>
        <w:t xml:space="preserve"> (Bisnow), </w:t>
      </w:r>
      <w:hyperlink r:id="rId9">
        <w:r>
          <w:rPr>
            <w:color w:val="0000EE"/>
            <w:u w:val="single"/>
          </w:rPr>
          <w:t>[2]</w:t>
        </w:r>
      </w:hyperlink>
      <w:r>
        <w:t xml:space="preserve"> (Bisnow) </w:t>
      </w:r>
      <w:r/>
    </w:p>
    <w:p>
      <w:pPr>
        <w:pStyle w:val="ListBullet"/>
        <w:spacing w:line="240" w:lineRule="auto"/>
        <w:ind w:left="720"/>
      </w:pPr>
      <w:r/>
      <w:r>
        <w:t xml:space="preserve">Paragraph 4 – </w:t>
      </w:r>
      <w:hyperlink r:id="rId9">
        <w:r>
          <w:rPr>
            <w:color w:val="0000EE"/>
            <w:u w:val="single"/>
          </w:rPr>
          <w:t>[1]</w:t>
        </w:r>
      </w:hyperlink>
      <w:r>
        <w:t xml:space="preserve"> (Bisnow), </w:t>
      </w:r>
      <w:hyperlink r:id="rId9">
        <w:r>
          <w:rPr>
            <w:color w:val="0000EE"/>
            <w:u w:val="single"/>
          </w:rPr>
          <w:t>[2]</w:t>
        </w:r>
      </w:hyperlink>
      <w:r>
        <w:t xml:space="preserve"> (Bisnow) </w:t>
      </w:r>
      <w:r/>
    </w:p>
    <w:p>
      <w:pPr>
        <w:pStyle w:val="ListBullet"/>
        <w:spacing w:line="240" w:lineRule="auto"/>
        <w:ind w:left="720"/>
      </w:pPr>
      <w:r/>
      <w:r>
        <w:t xml:space="preserve">Paragraph 5 – </w:t>
      </w:r>
      <w:hyperlink r:id="rId9">
        <w:r>
          <w:rPr>
            <w:color w:val="0000EE"/>
            <w:u w:val="single"/>
          </w:rPr>
          <w:t>[1]</w:t>
        </w:r>
      </w:hyperlink>
      <w:r>
        <w:t xml:space="preserve"> (Bisnow), </w:t>
      </w:r>
      <w:hyperlink r:id="rId10">
        <w:r>
          <w:rPr>
            <w:color w:val="0000EE"/>
            <w:u w:val="single"/>
          </w:rPr>
          <w:t>[3]</w:t>
        </w:r>
      </w:hyperlink>
      <w:r>
        <w:t xml:space="preserve"> (Insider Media), </w:t>
      </w:r>
      <w:hyperlink r:id="rId11">
        <w:r>
          <w:rPr>
            <w:color w:val="0000EE"/>
            <w:u w:val="single"/>
          </w:rPr>
          <w:t>[4]</w:t>
        </w:r>
      </w:hyperlink>
      <w:r>
        <w:t xml:space="preserve"> (Estates Gazette), </w:t>
      </w:r>
      <w:hyperlink r:id="rId12">
        <w:r>
          <w:rPr>
            <w:color w:val="0000EE"/>
            <w:u w:val="single"/>
          </w:rPr>
          <w:t>[6]</w:t>
        </w:r>
      </w:hyperlink>
      <w:r>
        <w:t xml:space="preserve"> (The Carer UK) </w:t>
      </w:r>
      <w:r/>
    </w:p>
    <w:p>
      <w:pPr>
        <w:pStyle w:val="ListBullet"/>
        <w:spacing w:line="240" w:lineRule="auto"/>
        <w:ind w:left="720"/>
      </w:pPr>
      <w:r/>
      <w:r>
        <w:t xml:space="preserve">Paragraph 6 – </w:t>
      </w:r>
      <w:hyperlink r:id="rId9">
        <w:r>
          <w:rPr>
            <w:color w:val="0000EE"/>
            <w:u w:val="single"/>
          </w:rPr>
          <w:t>[1]</w:t>
        </w:r>
      </w:hyperlink>
      <w:r>
        <w:t xml:space="preserve"> (Bisnow), </w:t>
      </w:r>
      <w:hyperlink r:id="rId11">
        <w:r>
          <w:rPr>
            <w:color w:val="0000EE"/>
            <w:u w:val="single"/>
          </w:rPr>
          <w:t>[4]</w:t>
        </w:r>
      </w:hyperlink>
      <w:r>
        <w:t xml:space="preserve"> (Estates Gazette), </w:t>
      </w:r>
      <w:hyperlink r:id="rId13">
        <w:r>
          <w:rPr>
            <w:color w:val="0000EE"/>
            <w:u w:val="single"/>
          </w:rPr>
          <w:t>[5]</w:t>
        </w:r>
      </w:hyperlink>
      <w:r>
        <w:t xml:space="preserve"> (Savills)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https://www.bisnow.com/london/news/healthcare/royal-london-bets-1b-on-the-property-sector-investors-havent-cracked-yet-131510</w:t>
        </w:r>
      </w:hyperlink>
      <w:r>
        <w:t xml:space="preserve"> - Please view link - unable to able to access data</w:t>
      </w:r>
      <w:r/>
    </w:p>
    <w:p>
      <w:pPr>
        <w:pStyle w:val="ListNumber"/>
        <w:spacing w:line="240" w:lineRule="auto"/>
        <w:ind w:left="720"/>
      </w:pPr>
      <w:r/>
      <w:hyperlink r:id="rId9">
        <w:r>
          <w:rPr>
            <w:color w:val="0000EE"/>
            <w:u w:val="single"/>
          </w:rPr>
          <w:t>https://www.bisnow.com/london/news/healthcare/royal-london-bets-1b-on-the-property-sector-investors-havent-cracked-yet-131510</w:t>
        </w:r>
      </w:hyperlink>
      <w:r>
        <w:t xml:space="preserve"> - Royal London Asset Management (RLAM) has launched a £1 billion investment strategy, establishing a non-listed Real Estate Investment Trust (REIT) focused on high-sustainability care home properties across the UK. This initiative aims to diversify RLAM's property portfolio and align with demographic and social trends, while maintaining its mutual ethos. The REIT structure is central to RLAM's expansion plans, with an initial investment of approximately £350 million across 25 homes in England, partnering with seven different operators. The group plans to invest up to £1 billion in total, targeting £200 million to £300 million annually in new development investments. The REIT was formally established on 1 October as a platform to house RLAM's growing healthcare property portfolio, designed to attract third-party capital and rebase capital gains from developer-held assets. The UK care home market for individuals aged 65 and older is estimated at £26 billion as of December 2024, with the independent sector accounting for 90% of that supply.</w:t>
      </w:r>
      <w:r/>
    </w:p>
    <w:p>
      <w:pPr>
        <w:pStyle w:val="ListNumber"/>
        <w:spacing w:line="240" w:lineRule="auto"/>
        <w:ind w:left="720"/>
      </w:pPr>
      <w:r/>
      <w:hyperlink r:id="rId10">
        <w:r>
          <w:rPr>
            <w:color w:val="0000EE"/>
            <w:u w:val="single"/>
          </w:rPr>
          <w:t>https://www.insidermedia.com/news/midlandsyorkshire/uk-care-homes-market-attracted-4bn-investment-in-12-months-ageing-demographic-drawing-us-investors</w:t>
        </w:r>
      </w:hyperlink>
      <w:r>
        <w:t xml:space="preserve"> - The UK care homes market attracted record-high investment volumes of £4 billion in the 12 months since July 2024, according to real estate services firm Cushman &amp; Wakefield. Transactional volumes in the sector reached over £1.75 billion in the first half of 2025, the highest ever total for a six-month period and 108% higher than the same period in 2024. Occupancy reached nearly 90% in the first quarter of 2025, driven by consistent demand due to the UK's ageing population. US investors are the predominant drivers of this activity, accounting for more than 70% of transactions, up from 56% in 2024. This reflects strong international confidence in the UK care homes market, with the country's ageing demographic profile drawing investors to the sector. Early indicators suggest that the UK's National Living Wage and Employers' National Insurance increases, combined with typical timing of annual operator fee uplifts, are driving up average weekly fees. Paid by care home residents and often subsidised by councils, these fees stood at £1,260 in the first quarter of 2025, the highest rates on record. Preliminary data from the second quarter shows that they have continued to rise, driven by the National Living Wage and Employers' National Insurance increases, which took effect on 1 April. The investment environment is characterised by high-value portfolio acquisitions, including the £640 million acquisition of Care REIT plc by CareTrust REIT, as well as growing midmarket transaction activity, with investors such as Omega Healthcare actively targeting midmarket assets.</w:t>
      </w:r>
      <w:r/>
    </w:p>
    <w:p>
      <w:pPr>
        <w:pStyle w:val="ListNumber"/>
        <w:spacing w:line="240" w:lineRule="auto"/>
        <w:ind w:left="720"/>
      </w:pPr>
      <w:r/>
      <w:hyperlink r:id="rId11">
        <w:r>
          <w:rPr>
            <w:color w:val="0000EE"/>
            <w:u w:val="single"/>
          </w:rPr>
          <w:t>https://www.estatesgazette.co.uk/news/us-firms-dominate-uk-care-homes-market-with-4bn-invested/</w:t>
        </w:r>
      </w:hyperlink>
      <w:r>
        <w:t xml:space="preserve"> - The UK care homes sector has recorded a record £4 billion in investment since July 2024, with US capital accounting for more than 70% of transactional activity, according to Cushman &amp; Wakefield. Investment volumes reached £1.75 billion in the first half of 2025 alone, the highest ever total for a six-month period and up by 108% year-on-year, underlining growing confidence in the UK's ageing demographic and its stable long-term demand drivers. Occupancy levels remained robust at nearly 90% in the first quarter of 2025, while increasing labour costs and operational pressures continue to push average weekly fees to record highs. Cushman &amp; Wakefield said the rise in the National Living Wage and employers' National Insurance contributions, introduced in April, has contributed to cost inflation across the sector, with operators often passing on increases to residents. Average weekly fees stood at £1,260 in the first quarter, the highest level on record, with further growth expected in the second quarter. "Interest and activity in the UK care home market have skyrocketed in the past 12 months, driven in part by strong appetite from US investors," said Jack Kelleher, data and analytics associate, healthcare, at Cushman &amp; Wakefield. "US funding sources have dominated the sector in 2025, reinforcing their strong and growing presence with investment across asset grades and structures. Despite cost pressures, margins remain resilient, supported by rising fee levels and stable occupancy." Recent high-profile deals include the £640 million acquisition of Care REIT by CareTrust REIT, as well as increased activity in the midmarket segment, where investors such as Omega Healthcare are targeting secondary assets. While grade-A assets offer stronger private fee profiles, Cushman &amp; Wakefield said grade-B and C stock continues to attract attention due to fragmented ownership and attractive pricing. The firm's specialist UK healthcare team reported on approximately £20 billion of healthcare real estate in 2024, including care homes, private hospitals, seniors housing, medical and GP practices and specialist care assets.</w:t>
      </w:r>
      <w:r/>
    </w:p>
    <w:p>
      <w:pPr>
        <w:pStyle w:val="ListNumber"/>
        <w:spacing w:line="240" w:lineRule="auto"/>
        <w:ind w:left="720"/>
      </w:pPr>
      <w:r/>
      <w:hyperlink r:id="rId13">
        <w:r>
          <w:rPr>
            <w:color w:val="0000EE"/>
            <w:u w:val="single"/>
          </w:rPr>
          <w:t>https://www.savills.co.uk/research_articles/229130/378431-0</w:t>
        </w:r>
      </w:hyperlink>
      <w:r>
        <w:t xml:space="preserve"> - Care home investment remains most attractive in the UK, with strong interest also building in Spain and selected opportunities emerging in Germany. Through 2024 and in 2025 to date, the UK care home sector received the greatest volume of capital inflows among the core markets, with over €2.7 billion invested. This has shown the resilience of the UK market, at a time when Germany, the largest market and previous investment leader, has faced challenges. In the UK, care fees have increased significantly over the last five years, driven by the private-pay segment, making certain developments more financially viable as there is a greater capacity to pass on inflationary costs to end users. US investors were drawn to the market by the ability to structure WholeCo deals and benefit from these price increases. Going forward, investors are highlighting the UK as Europe's most attractive market, driven by a diverse range of sizeable real estate portfolios, strong fee uplifts, and relatively low bed supply compared to other mature markets.</w:t>
      </w:r>
      <w:r/>
    </w:p>
    <w:p>
      <w:pPr>
        <w:pStyle w:val="ListNumber"/>
        <w:spacing w:line="240" w:lineRule="auto"/>
        <w:ind w:left="720"/>
      </w:pPr>
      <w:r/>
      <w:hyperlink r:id="rId12">
        <w:r>
          <w:rPr>
            <w:color w:val="0000EE"/>
            <w:u w:val="single"/>
          </w:rPr>
          <w:t>https://www.thecareruk.com/us-investors-dominating-uk-care-homes-market/</w:t>
        </w:r>
      </w:hyperlink>
      <w:r>
        <w:t xml:space="preserve"> - The UK care homes market attracted record-high investment volumes of £4 billion in the 12 months since July 2024, according to real estate services firm Cushman &amp; Wakefield. Transactional volumes in the sector reached over £1.75 billion in the first half of 2025, the highest ever total for a six-month period and 108% higher than H1 2024. Occupancy reached nearly 90% in Q1 2025, driven by limited volatility and consistent demand due to the UK's ageing population. US investors are the predominant driver of this activity, accounting for more than 70% of transactions, up from 56% in 2024. This reflects strong international confidence in the UK care homes market, with the country's ageing demographic profile drawing investors to the sector. Early indicators suggest that the UK government's National Living Wage and Employers' National Insurance increases – combined with typical timing of annual operator fee uplifts – are driving up average weekly fees. Paid by care home residents and often subsidised by councils, these fees stood at £1,260 in Q1 2025, the highest rates on record. Preliminary data from Q2 shows that they have continued to rise, driven by the National Living Wage and Employers' National Insurance increases, which took effect on 1 April. The investment environment is characterised by high-value portfolio acquisitions, including the £640 million acquisition of Care REIT plc by CareTrust REIT, as well as growing midmarket transaction activity – with investors such as Omega Healthcare actively targeting midmarket assets.</w:t>
      </w:r>
      <w:r/>
    </w:p>
    <w:p>
      <w:pPr>
        <w:pStyle w:val="ListNumber"/>
        <w:spacing w:line="240" w:lineRule="auto"/>
        <w:ind w:left="720"/>
      </w:pPr>
      <w:r/>
      <w:hyperlink r:id="rId10">
        <w:r>
          <w:rPr>
            <w:color w:val="0000EE"/>
            <w:u w:val="single"/>
          </w:rPr>
          <w:t>https://www.insidermedia.com/news/midlandsyorkshire/uk-care-homes-market-attracted-4bn-investment-in-12-months-ageing-demographic-drawing-us-investors</w:t>
        </w:r>
      </w:hyperlink>
      <w:r>
        <w:t xml:space="preserve"> - The UK care homes market attracted record-high investment volumes of £4 billion in the 12 months since July 2024, according to real estate services firm Cushman &amp; Wakefield. Transactional volumes in the sector reached over £1.75 billion in the first half of 2025, the highest ever total for a six-month period and 108% higher than H1 2024. Occupancy reached nearly 90% in Q1 2025, driven by limited volatility and consistent demand due to the UK's ageing population. US investors are the predominant driver of this activity, accounting for more than 70% of transactions, up from 56% in 2024. This reflects strong international confidence in the UK care homes market, with the country's ageing demographic profile drawing investors to the sector. Early indicators suggest that the UK government's National Living Wage and Employers' National Insurance increases – combined with typical timing of annual operator fee uplifts – are driving up average weekly fees. Paid by care home residents and often subsidised by councils, these fees stood at £1,260 in Q1 2025, the highest rates on record. Preliminary data from Q2 shows that they have continued to rise, driven by the National Living Wage and Employers' National Insurance increases, which took effect on 1 April. The investment environment is characterised by high-value portfolio acquisitions, including the £640 million acquisition of Care REIT plc by CareTrust REIT, as well as growing midmarket transaction activity – with investors such as Omega Healthcare actively targeting midmarket assets.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healthcare/royal-london-bets-1b-on-the-property-sector-investors-havent-cracked-yet-131510" TargetMode="External"/><Relationship Id="rId10" Type="http://schemas.openxmlformats.org/officeDocument/2006/relationships/hyperlink" Target="https://www.insidermedia.com/news/midlandsyorkshire/uk-care-homes-market-attracted-4bn-investment-in-12-months-ageing-demographic-drawing-us-investors" TargetMode="External"/><Relationship Id="rId11" Type="http://schemas.openxmlformats.org/officeDocument/2006/relationships/hyperlink" Target="https://www.estatesgazette.co.uk/news/us-firms-dominate-uk-care-homes-market-with-4bn-invested/" TargetMode="External"/><Relationship Id="rId12" Type="http://schemas.openxmlformats.org/officeDocument/2006/relationships/hyperlink" Target="https://www.thecareruk.com/us-investors-dominating-uk-care-homes-market/" TargetMode="External"/><Relationship Id="rId13" Type="http://schemas.openxmlformats.org/officeDocument/2006/relationships/hyperlink" Target="https://www.savills.co.uk/research_articles/229130/378431-0"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