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IPO Genie pioneers democratization of private equity through tokenization and AI</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Tokenization is rapidly becoming a mainstream financial practice, transforming how assets are owned, managed, and traded. Major global banks have embraced tokenization to enhance cash management and cross-border payments, while leading asset management firms are increasingly tokenizing investment funds and commercial products. The real estate sector, specifically, is projected to experience explosive growth, with estimates suggesting tokenized real estate markets could reach $4 trillion by 2030 or even $4 trillion by 2035, according to Deloitte and industry forecasts. This surge is supported by growing institutional interest, fintech innovation, and the increasing adoption of blockchain technologies to segment traditionally illiquid assets into smaller, more tradable fractions accessible to retail investors.</w:t>
      </w:r>
      <w:r/>
    </w:p>
    <w:p>
      <w:r/>
      <w:r>
        <w:t>In the crypto space, new layer-2 blockchain solutions are being designed specifically to facilitate tokenization of Real-World Assets (RWA), enhancing throughput and security through advanced privacy tools like zero-knowledge proofs. These technological advances are pivotal in bridging traditional financial markets and decentralized finance, making tokenization not just a new trend but a foundational element in the future of smart investing.</w:t>
      </w:r>
      <w:r/>
    </w:p>
    <w:p>
      <w:r/>
      <w:r>
        <w:t>A noteworthy newcomer in this evolving landscape is IPO Genie, a platform aiming to democratize access to the private equity and pre-IPO market spaces through its $IPO AI crypto token. Unlike conventional cryptocurrencies, IPO Genie’s tokens represent fractional ownership in private companies and hedge funds, offering investors verifiable stakes rather than speculative digital coins. Their AI Deal Discovery Engine searches and evaluates thousands of early-stage startups using diverse data points—including financial filings, investor sentiment, and on-chain analytics—to curate high-potential private assets. This selection process helps filter investment opportunities that typically remain exclusive to institutional or accredited investors, allowing token holders to participate in venture capital-like equity deals on-chain, with the liquidity and transparency characteristic of crypto markets.</w:t>
      </w:r>
      <w:r/>
    </w:p>
    <w:p>
      <w:r/>
      <w:r>
        <w:t>Ownership through the $IPO token effectively serves as a key to access pools of fractionalized private assets, streamlining what traditionally involved extensive paperwork and regulatory hurdles. Currently, the project is in its presale whitelist phase, providing early investors a chance to secure tokens before the public sale, with purchase options available via multiple cryptocurrencies including ETH, USDT, and BNB.</w:t>
      </w:r>
      <w:r/>
    </w:p>
    <w:p>
      <w:r/>
      <w:r>
        <w:t>Underpinning this innovative approach is a broader trend: the asset tokenization platforms market demonstrated robust growth in 2024, valued at approximately $440 million, and is expected to increase by nearly 14% in 2025. This expansion is driven by escalating interest from over 60% of global financial firms exploring tokenized investment vehicles. Real estate remains the leading asset class, constituting over half of all tokenization deals, followed by art and collectibles. North America has emerged as a dominant player, capturing around 45% of platform activity due to its strong fintech ecosystem and early regulatory clarity, despite ongoing uncertainties in more than 20 countries about digital securities guidelines.</w:t>
      </w:r>
      <w:r/>
    </w:p>
    <w:p>
      <w:r/>
      <w:r>
        <w:t>The US tokenized assets market exemplifies this dynamism, currently valued at $8.5 billion and projected to skyrocket to over $680 billion by 2034, supported by institutional investors keen to leverage tokenization for enhanced liquidity, fractional ownership, and reduced settlement times. This rise is further boosted by pilot projects and partnerships between fintech startups and traditional financial institutions, which facilitate the commercialization and mainstreaming of tokenized assets.</w:t>
      </w:r>
      <w:r/>
    </w:p>
    <w:p>
      <w:r/>
      <w:r>
        <w:t>Delineating the nature of these tokens from typical cryptocurrencies is crucial. Whereas cryptocurrencies often derive value from speculative activity, tokenized assets—such as IPO Genie’s offering—are backed by tangible assets, blending the liquidity and accessibility of crypto with the intrinsic value of real companies and funds. Institutional projects reinforce this. For example, tokenized U.S. Treasuries dominate the RWA space, with significant funds like BlackRock’s BUIDL and Franklin Templeton’s BENJI offering safe, yield-generating instruments that appeal to low-risk investors. Commodities such as tokenized gold also represent key sectors, with products like Paxos Gold commanding hundreds of millions in assets under management.</w:t>
      </w:r>
      <w:r/>
    </w:p>
    <w:p>
      <w:r/>
      <w:r>
        <w:t>Real estate tokenization, in particular, is poised for transformative growth. Current market analysis identifies over $412 billion in real estate tokens globally, with compound annual growth rates pushing this figure towards trillions within the next decade. Firms worldwide are adopting or piloting tokenization strategies to harness benefits such as fractional ownership, faster transaction settlements, and reduced investment costs, thereby unlocking liquidity and expanding the investor base.</w:t>
      </w:r>
      <w:r/>
    </w:p>
    <w:p>
      <w:r/>
      <w:r>
        <w:t>However, regulatory clarity remains a significant factor shaping tokenization’s trajectory. While North America and some European countries are advancing legislation and frameworks for digital securities, many jurisdictions still lack definitive rules, which could slow global adoption. Nevertheless, the growing institutional involvement and technological advancements underscore the increasing legitimacy and permanence of tokenized asset platforms.</w:t>
      </w:r>
      <w:r/>
    </w:p>
    <w:p>
      <w:r/>
      <w:r>
        <w:t>In summary, tokenization is no longer a nascent concept confined to niche blockchain projects; it is a rapidly commercializing force reshaping traditional finance. Platforms like IPO Genie illustrate the cutting edge of this trend by leveraging AI and blockchain to democratize access to private markets, which have historically been the preserve of a select few. As the underlying market infrastructure matures, and regulatory environments adapt, tokenization stands to revolutionize asset ownership, liquidity, and investment accessibility on a global scale.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Crypto Economy, </w:t>
      </w:r>
      <w:hyperlink r:id="rId10">
        <w:r>
          <w:rPr>
            <w:color w:val="0000EE"/>
            <w:u w:val="single"/>
          </w:rPr>
          <w:t>[6]</w:t>
        </w:r>
      </w:hyperlink>
      <w:r>
        <w:t xml:space="preserve"> CoinLaw, </w:t>
      </w:r>
      <w:hyperlink r:id="rId11">
        <w:r>
          <w:rPr>
            <w:color w:val="0000EE"/>
            <w:u w:val="single"/>
          </w:rPr>
          <w:t>[7]</w:t>
        </w:r>
      </w:hyperlink>
      <w:r>
        <w:t xml:space="preserve"> Deloitte </w:t>
      </w:r>
      <w:r/>
    </w:p>
    <w:p>
      <w:pPr>
        <w:pStyle w:val="ListBullet"/>
        <w:spacing w:line="240" w:lineRule="auto"/>
        <w:ind w:left="720"/>
      </w:pPr>
      <w:r/>
      <w:r>
        <w:t xml:space="preserve">Paragraph 2 – </w:t>
      </w:r>
      <w:hyperlink r:id="rId9">
        <w:r>
          <w:rPr>
            <w:color w:val="0000EE"/>
            <w:u w:val="single"/>
          </w:rPr>
          <w:t>[1]</w:t>
        </w:r>
      </w:hyperlink>
      <w:r>
        <w:t xml:space="preserve"> Crypto Economy, </w:t>
      </w:r>
      <w:hyperlink r:id="rId12">
        <w:r>
          <w:rPr>
            <w:color w:val="0000EE"/>
            <w:u w:val="single"/>
          </w:rPr>
          <w:t>[4]</w:t>
        </w:r>
      </w:hyperlink>
      <w:r>
        <w:t xml:space="preserve"> Token Metrics </w:t>
      </w:r>
      <w:r/>
    </w:p>
    <w:p>
      <w:pPr>
        <w:pStyle w:val="ListBullet"/>
        <w:spacing w:line="240" w:lineRule="auto"/>
        <w:ind w:left="720"/>
      </w:pPr>
      <w:r/>
      <w:r>
        <w:t xml:space="preserve">Paragraph 3 – </w:t>
      </w:r>
      <w:hyperlink r:id="rId9">
        <w:r>
          <w:rPr>
            <w:color w:val="0000EE"/>
            <w:u w:val="single"/>
          </w:rPr>
          <w:t>[1]</w:t>
        </w:r>
      </w:hyperlink>
      <w:r>
        <w:t xml:space="preserve"> Crypto Economy </w:t>
      </w:r>
      <w:r/>
    </w:p>
    <w:p>
      <w:pPr>
        <w:pStyle w:val="ListBullet"/>
        <w:spacing w:line="240" w:lineRule="auto"/>
        <w:ind w:left="720"/>
      </w:pPr>
      <w:r/>
      <w:r>
        <w:t xml:space="preserve">Paragraph 4 – </w:t>
      </w:r>
      <w:hyperlink r:id="rId9">
        <w:r>
          <w:rPr>
            <w:color w:val="0000EE"/>
            <w:u w:val="single"/>
          </w:rPr>
          <w:t>[1]</w:t>
        </w:r>
      </w:hyperlink>
      <w:r>
        <w:t xml:space="preserve"> Crypto Economy </w:t>
      </w:r>
      <w:r/>
    </w:p>
    <w:p>
      <w:pPr>
        <w:pStyle w:val="ListBullet"/>
        <w:spacing w:line="240" w:lineRule="auto"/>
        <w:ind w:left="720"/>
      </w:pPr>
      <w:r/>
      <w:r>
        <w:t xml:space="preserve">Paragraph 5 – </w:t>
      </w:r>
      <w:hyperlink r:id="rId13">
        <w:r>
          <w:rPr>
            <w:color w:val="0000EE"/>
            <w:u w:val="single"/>
          </w:rPr>
          <w:t>[2]</w:t>
        </w:r>
      </w:hyperlink>
      <w:r>
        <w:t xml:space="preserve"> Global Market Statistics, </w:t>
      </w:r>
      <w:hyperlink r:id="rId14">
        <w:r>
          <w:rPr>
            <w:color w:val="0000EE"/>
            <w:u w:val="single"/>
          </w:rPr>
          <w:t>[3]</w:t>
        </w:r>
      </w:hyperlink>
      <w:r>
        <w:t xml:space="preserve"> Industry Research </w:t>
      </w:r>
      <w:r/>
    </w:p>
    <w:p>
      <w:pPr>
        <w:pStyle w:val="ListBullet"/>
        <w:spacing w:line="240" w:lineRule="auto"/>
        <w:ind w:left="720"/>
      </w:pPr>
      <w:r/>
      <w:r>
        <w:t xml:space="preserve">Paragraph 6 – </w:t>
      </w:r>
      <w:hyperlink r:id="rId15">
        <w:r>
          <w:rPr>
            <w:color w:val="0000EE"/>
            <w:u w:val="single"/>
          </w:rPr>
          <w:t>[5]</w:t>
        </w:r>
      </w:hyperlink>
      <w:r>
        <w:t xml:space="preserve"> Market.US, </w:t>
      </w:r>
      <w:hyperlink r:id="rId13">
        <w:r>
          <w:rPr>
            <w:color w:val="0000EE"/>
            <w:u w:val="single"/>
          </w:rPr>
          <w:t>[2]</w:t>
        </w:r>
      </w:hyperlink>
      <w:r>
        <w:t xml:space="preserve"> Global Market Statistics </w:t>
      </w:r>
      <w:r/>
    </w:p>
    <w:p>
      <w:pPr>
        <w:pStyle w:val="ListBullet"/>
        <w:spacing w:line="240" w:lineRule="auto"/>
        <w:ind w:left="720"/>
      </w:pPr>
      <w:r/>
      <w:r>
        <w:t xml:space="preserve">Paragraph 7 – </w:t>
      </w:r>
      <w:hyperlink r:id="rId9">
        <w:r>
          <w:rPr>
            <w:color w:val="0000EE"/>
            <w:u w:val="single"/>
          </w:rPr>
          <w:t>[1]</w:t>
        </w:r>
      </w:hyperlink>
      <w:r>
        <w:t xml:space="preserve"> Crypto Economy, </w:t>
      </w:r>
      <w:hyperlink r:id="rId12">
        <w:r>
          <w:rPr>
            <w:color w:val="0000EE"/>
            <w:u w:val="single"/>
          </w:rPr>
          <w:t>[4]</w:t>
        </w:r>
      </w:hyperlink>
      <w:r>
        <w:t xml:space="preserve"> Token Metrics </w:t>
      </w:r>
      <w:r/>
    </w:p>
    <w:p>
      <w:pPr>
        <w:pStyle w:val="ListBullet"/>
        <w:spacing w:line="240" w:lineRule="auto"/>
        <w:ind w:left="720"/>
      </w:pPr>
      <w:r/>
      <w:r>
        <w:t xml:space="preserve">Paragraph 8 – </w:t>
      </w:r>
      <w:hyperlink r:id="rId12">
        <w:r>
          <w:rPr>
            <w:color w:val="0000EE"/>
            <w:u w:val="single"/>
          </w:rPr>
          <w:t>[4]</w:t>
        </w:r>
      </w:hyperlink>
      <w:r>
        <w:t xml:space="preserve"> Token Metrics, </w:t>
      </w:r>
      <w:hyperlink r:id="rId9">
        <w:r>
          <w:rPr>
            <w:color w:val="0000EE"/>
            <w:u w:val="single"/>
          </w:rPr>
          <w:t>[1]</w:t>
        </w:r>
      </w:hyperlink>
      <w:r>
        <w:t xml:space="preserve"> Crypto Economy </w:t>
      </w:r>
      <w:r/>
    </w:p>
    <w:p>
      <w:pPr>
        <w:pStyle w:val="ListBullet"/>
        <w:spacing w:line="240" w:lineRule="auto"/>
        <w:ind w:left="720"/>
      </w:pPr>
      <w:r/>
      <w:r>
        <w:t xml:space="preserve">Paragraph 9 – </w:t>
      </w:r>
      <w:hyperlink r:id="rId10">
        <w:r>
          <w:rPr>
            <w:color w:val="0000EE"/>
            <w:u w:val="single"/>
          </w:rPr>
          <w:t>[6]</w:t>
        </w:r>
      </w:hyperlink>
      <w:r>
        <w:t xml:space="preserve"> CoinLaw, </w:t>
      </w:r>
      <w:hyperlink r:id="rId11">
        <w:r>
          <w:rPr>
            <w:color w:val="0000EE"/>
            <w:u w:val="single"/>
          </w:rPr>
          <w:t>[7]</w:t>
        </w:r>
      </w:hyperlink>
      <w:r>
        <w:t xml:space="preserve"> Deloitte </w:t>
      </w:r>
      <w:r/>
    </w:p>
    <w:p>
      <w:pPr>
        <w:pStyle w:val="ListBullet"/>
        <w:spacing w:line="240" w:lineRule="auto"/>
        <w:ind w:left="720"/>
      </w:pPr>
      <w:r/>
      <w:r>
        <w:t xml:space="preserve">Paragraph 10 – </w:t>
      </w:r>
      <w:hyperlink r:id="rId13">
        <w:r>
          <w:rPr>
            <w:color w:val="0000EE"/>
            <w:u w:val="single"/>
          </w:rPr>
          <w:t>[2]</w:t>
        </w:r>
      </w:hyperlink>
      <w:r>
        <w:t xml:space="preserve"> Global Market Statistics, </w:t>
      </w:r>
      <w:hyperlink r:id="rId14">
        <w:r>
          <w:rPr>
            <w:color w:val="0000EE"/>
            <w:u w:val="single"/>
          </w:rPr>
          <w:t>[3]</w:t>
        </w:r>
      </w:hyperlink>
      <w:r>
        <w:t xml:space="preserve"> Industry Research </w:t>
      </w:r>
      <w:r/>
    </w:p>
    <w:p>
      <w:pPr>
        <w:pStyle w:val="ListBullet"/>
        <w:spacing w:line="240" w:lineRule="auto"/>
        <w:ind w:left="720"/>
      </w:pPr>
      <w:r/>
      <w:r>
        <w:t xml:space="preserve">Paragraph 11 – </w:t>
      </w:r>
      <w:hyperlink r:id="rId9">
        <w:r>
          <w:rPr>
            <w:color w:val="0000EE"/>
            <w:u w:val="single"/>
          </w:rPr>
          <w:t>[1]</w:t>
        </w:r>
      </w:hyperlink>
      <w:r>
        <w:t xml:space="preserve"> Crypto Economy, </w:t>
      </w:r>
      <w:hyperlink r:id="rId12">
        <w:r>
          <w:rPr>
            <w:color w:val="0000EE"/>
            <w:u w:val="single"/>
          </w:rPr>
          <w:t>[4]</w:t>
        </w:r>
      </w:hyperlink>
      <w:r>
        <w:t xml:space="preserve"> Token Metrics </w:t>
      </w:r>
      <w:r/>
    </w:p>
    <w:p>
      <w:pPr>
        <w:pStyle w:val="ListBullet"/>
        <w:spacing w:line="240" w:lineRule="auto"/>
        <w:ind w:left="720"/>
      </w:pPr>
      <w:r/>
      <w:r>
        <w:t xml:space="preserve">Paragraph 12 – </w:t>
      </w:r>
      <w:hyperlink r:id="rId9">
        <w:r>
          <w:rPr>
            <w:color w:val="0000EE"/>
            <w:u w:val="single"/>
          </w:rPr>
          <w:t>[1]</w:t>
        </w:r>
      </w:hyperlink>
      <w:r>
        <w:t xml:space="preserve"> Crypto Economy, </w:t>
      </w:r>
      <w:hyperlink r:id="rId15">
        <w:r>
          <w:rPr>
            <w:color w:val="0000EE"/>
            <w:u w:val="single"/>
          </w:rPr>
          <w:t>[5]</w:t>
        </w:r>
      </w:hyperlink>
      <w:r>
        <w:t xml:space="preserve"> Market.US, </w:t>
      </w:r>
      <w:hyperlink r:id="rId10">
        <w:r>
          <w:rPr>
            <w:color w:val="0000EE"/>
            <w:u w:val="single"/>
          </w:rPr>
          <w:t>[6]</w:t>
        </w:r>
      </w:hyperlink>
      <w:r>
        <w:t xml:space="preserve"> CoinLaw</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https://crypto-economy.com/tokenise-the-opportunity-ipo-genies-web3-leap-into-pre-ipos-2/</w:t>
        </w:r>
      </w:hyperlink>
      <w:r>
        <w:t xml:space="preserve"> - Please view link - unable to able to access data</w:t>
      </w:r>
      <w:r/>
    </w:p>
    <w:p>
      <w:pPr>
        <w:pStyle w:val="ListNumber"/>
        <w:spacing w:line="240" w:lineRule="auto"/>
        <w:ind w:left="720"/>
      </w:pPr>
      <w:r/>
      <w:hyperlink r:id="rId13">
        <w:r>
          <w:rPr>
            <w:color w:val="0000EE"/>
            <w:u w:val="single"/>
          </w:rPr>
          <w:t>https://www.globalmarketstatistics.com/market-reports/asset-tokenization-platforms-market-12696</w:t>
        </w:r>
      </w:hyperlink>
      <w:r>
        <w:t xml:space="preserve"> - The Asset Tokenization Platforms Market was valued at USD 439.73 million in 2024 and is projected to grow to USD 490.07 million by 2025, with a compound annual growth rate (CAGR) of 13.8%. Over 60% of global financial firms reported exploring tokenized investment vehicles in 2023, particularly in real estate and private equity. However, regulatory uncertainty remains a challenge, with more than 20 countries lacking clear guidelines on digital securities as of late 2023. Fractional ownership is gaining traction, with over $500 million in commercial property assets tokenized into fractional shares globally in 2023, nearly doubling the amount from 2022. North America led the market, accounting for approximately 45% of platform activity in 2023, driven by strong fintech ecosystems in the U.S. and Canada. The market is still young, but consolidation is beginning, with roughly 12 major platforms handling over 70% of total tokenized asset volume worldwide. Real estate remains the dominant asset class, making up more than 50% of all tokenized deals last year, followed by art and collectibles at 17%. In February 2024, a major European bank launched a blockchain-powered platform allowing clients to tokenize and trade luxury cars, with over 150 cars tokenized within the first three weeks.</w:t>
      </w:r>
      <w:r/>
    </w:p>
    <w:p>
      <w:pPr>
        <w:pStyle w:val="ListNumber"/>
        <w:spacing w:line="240" w:lineRule="auto"/>
        <w:ind w:left="720"/>
      </w:pPr>
      <w:r/>
      <w:hyperlink r:id="rId14">
        <w:r>
          <w:rPr>
            <w:color w:val="0000EE"/>
            <w:u w:val="single"/>
          </w:rPr>
          <w:t>https://www.industryresearch.biz/market-reports/asset-tokenization-platforms-market-102743</w:t>
        </w:r>
      </w:hyperlink>
      <w:r>
        <w:t xml:space="preserve"> - Approximately 60% of global financial firms explored tokenized investment vehicles in 2023, with U.S. institutional investors allocating 58% of digital-asset portfolios to tokenized offerings. Over 20% of countries lack regulatory clarity on digital securities, and liquidity gaps slow adoption of tokenized products. Fractional property tokenization exceeded $500 million in commercial property assets in 2023, with retail investment adoption rising 52% year-over-year. North America contributed 45% of global platform activity in 2023 and held 35% of platform market share. Around 12 major platforms account for 70% of tokenized asset volume, with Securitize controlling 70% of tokenized U.S. Treasury issuance. Real estate accounted for over 50% of tokenization deals, followed by art and collectibles at 17%. In February 2024, a European bank tokenized 150 luxury cars within three weeks after launch.</w:t>
      </w:r>
      <w:r/>
    </w:p>
    <w:p>
      <w:pPr>
        <w:pStyle w:val="ListNumber"/>
        <w:spacing w:line="240" w:lineRule="auto"/>
        <w:ind w:left="720"/>
      </w:pPr>
      <w:r/>
      <w:hyperlink r:id="rId12">
        <w:r>
          <w:rPr>
            <w:color w:val="0000EE"/>
            <w:u w:val="single"/>
          </w:rPr>
          <w:t>https://research.tokenmetrics.com/p/tokenizing-the-future-the-rise-of-real-world-assets</w:t>
        </w:r>
      </w:hyperlink>
      <w:r>
        <w:t xml:space="preserve"> - The Real-World Asset (RWA) tokenization sector has grown significantly, with a total market size of $22.60 billion ($254 billion including stablecoins) as of May 2025. This growth is driven by the adoption of blockchain technology to tokenize assets such as U.S. Treasuries, commodities, private credit, stocks, real estate, and bonds. The sector is reshaping traditional finance by enhancing liquidity, accessibility, and transparency. U.S. Treasuries dominate the RWA landscape, accounting for over 50% of the market. Leading projects like BlackRock's BUIDL fund ($2.8 billion), Franklin Templeton's BENJI fund ($759 million), and Ondo Finance ($592 million) offer stable yield-generating instruments that attract institutional investors seeking low-risk options. Hashnote’s USYC fund ($765 million) further strengthens this segment, making tokenized Treasuries the backbone of the RWA sector. Commodities, particularly tokenized gold, are another significant asset class. Paxos Gold (PAXG) leads with $774 million in assets, followed by Tether Gold (XAUT) with $631 million.</w:t>
      </w:r>
      <w:r/>
    </w:p>
    <w:p>
      <w:pPr>
        <w:pStyle w:val="ListNumber"/>
        <w:spacing w:line="240" w:lineRule="auto"/>
        <w:ind w:left="720"/>
      </w:pPr>
      <w:r/>
      <w:hyperlink r:id="rId15">
        <w:r>
          <w:rPr>
            <w:color w:val="0000EE"/>
            <w:u w:val="single"/>
          </w:rPr>
          <w:t>https://market.us/report/tokenized-assets-market/</w:t>
        </w:r>
      </w:hyperlink>
      <w:r>
        <w:t xml:space="preserve"> - The U.S. Tokenized Assets Market was valued at USD 8.5 billion in 2024 and is anticipated to reach approximately USD 688.4 billion by 2034, expanding at a compound annual growth rate (CAGR) of 55.2% during the forecast period from 2025 to 2034. In 2024, North America held a dominant market position, capturing more than 38.8% share and generating USD 10.01 billion in revenue in the tokenized assets market. The region’s leadership is driven by its advanced financial ecosystem, early adoption of blockchain technologies, and strong presence of institutional investors exploring tokenization for real estate, equities, and alternative assets. The United States, in particular, has played a central role by fostering pilot projects and partnerships between fintech firms, traditional banks, and asset managers, which has accelerated commercialization of tokenized solutions. North America’s dominance is also reinforced by favorable investment conditions and a growing regulatory focus on digital assets. While the legal framework is still evolving, regulators in the U.S. and Canada are increasingly addressing issues related to security tokens, compliance, and investor protection, providing greater clarity for market participants. This has encouraged large financial institutions to explore tokenized platforms as a way to enhance liquidity, enable fractional ownership, and reduce settlement times.</w:t>
      </w:r>
      <w:r/>
    </w:p>
    <w:p>
      <w:pPr>
        <w:pStyle w:val="ListNumber"/>
        <w:spacing w:line="240" w:lineRule="auto"/>
        <w:ind w:left="720"/>
      </w:pPr>
      <w:r/>
      <w:hyperlink r:id="rId10">
        <w:r>
          <w:rPr>
            <w:color w:val="0000EE"/>
            <w:u w:val="single"/>
          </w:rPr>
          <w:t>https://coinlaw.io/asset-tokenization-statistics/</w:t>
        </w:r>
      </w:hyperlink>
      <w:r>
        <w:t xml:space="preserve"> - As of mid-2025, real estate tokens are part of the $412 billion total tokenized assets globally. The RWA tokenization market has reached $24 billion in 2025, up 308% over three years. By June 2025, RWA token value on public blockchains neared $18 billion. Deloitte projects $1 trillion in tokenized private real estate funds by 2035, with 8.5% market penetration. Global tokenized real estate could reach $3 trillion by 2030, potentially representing 15% of global property AUM, although actual adoption will depend on regulatory clarity and investor confidence. BCG expects real estate tokenization to grow from ~$120 billion in 2023 to $3.2 trillion by 2030 (~49% CAGR). As of June 2024, 12% of global real estate firms had implemented tokenization, and 46% were piloting such solutions. Real estate tokens offer fractional ownership, faster settlement, and lower costs, boosting liquidity and enabling access for smaller investors.</w:t>
      </w:r>
      <w:r/>
    </w:p>
    <w:p>
      <w:pPr>
        <w:pStyle w:val="ListNumber"/>
        <w:spacing w:line="240" w:lineRule="auto"/>
        <w:ind w:left="720"/>
      </w:pPr>
      <w:r/>
      <w:hyperlink r:id="rId11">
        <w:r>
          <w:rPr>
            <w:color w:val="0000EE"/>
            <w:u w:val="single"/>
          </w:rPr>
          <w:t>https://www.deloitte.com/us/en/insights/industry/financial-services/financial-services-industry-predictions/2025/tokenized-real-estate.html?icid=top_https%3A%2F%2Fwww.deloitte.com%2Fus%2Fen%2Finsights%2Findustry%2Ffinancial-services%2Ffinancial-services-industry-predictions%2F2025%2Ftokenized-real-estate.html</w:t>
        </w:r>
      </w:hyperlink>
      <w:r>
        <w:t xml:space="preserve"> - Over the last eight years, since the first tokenized real estate deals were completed, tokenization has helped open potential new avenues for real estate investment through fractional ownership. This technology could help build trillions of dollars of economic activity for the real estate sector over the next decade, in part, by allowing it to expand its investor base and product offerings. The Deloitte Center for Financial Services predicts that US$4 trillion of real estate will be tokenized by 2035, increasing from less than US$0.3 trillion in 2024, with a CAGR of 27%.</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rypto-economy.com/tokenise-the-opportunity-ipo-genies-web3-leap-into-pre-ipos-2/" TargetMode="External"/><Relationship Id="rId10" Type="http://schemas.openxmlformats.org/officeDocument/2006/relationships/hyperlink" Target="https://coinlaw.io/asset-tokenization-statistics/" TargetMode="External"/><Relationship Id="rId11" Type="http://schemas.openxmlformats.org/officeDocument/2006/relationships/hyperlink" Target="https://www.deloitte.com/us/en/insights/industry/financial-services/financial-services-industry-predictions/2025/tokenized-real-estate.html?icid=top_https%3A%2F%2Fwww.deloitte.com%2Fus%2Fen%2Finsights%2Findustry%2Ffinancial-services%2Ffinancial-services-industry-predictions%2F2025%2Ftokenized-real-estate.html" TargetMode="External"/><Relationship Id="rId12" Type="http://schemas.openxmlformats.org/officeDocument/2006/relationships/hyperlink" Target="https://research.tokenmetrics.com/p/tokenizing-the-future-the-rise-of-real-world-assets" TargetMode="External"/><Relationship Id="rId13" Type="http://schemas.openxmlformats.org/officeDocument/2006/relationships/hyperlink" Target="https://www.globalmarketstatistics.com/market-reports/asset-tokenization-platforms-market-12696" TargetMode="External"/><Relationship Id="rId14" Type="http://schemas.openxmlformats.org/officeDocument/2006/relationships/hyperlink" Target="https://www.industryresearch.biz/market-reports/asset-tokenization-platforms-market-102743" TargetMode="External"/><Relationship Id="rId15" Type="http://schemas.openxmlformats.org/officeDocument/2006/relationships/hyperlink" Target="https://market.us/report/tokenized-assets-marke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