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Crypto traders brace for volatility as Fed rate cut sparks record open interest and leveraged positions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Bitcoin traders are increasingly building leveraged positions across the crypto derivatives market as they prepare for a pivotal Federal Reserve interest rate decision this week. Open interest in Bitcoin futures and options has surged close to $40 billion, reflecting heightened trader confidence amid expectations of a quarter-point rate cut. The anticipation of lower interest rates, fueled by recent economic indicators such as a softening labor market and easing core inflation, is encouraging investors to position for potential gains in risk assets including cryptocurrencies.</w:t>
      </w:r>
      <w:r/>
    </w:p>
    <w:p>
      <w:r/>
      <w:r>
        <w:t>This optimism is echoed by users of the prediction market Myriad, which places a 92.6% probability on a 25 basis point cut at the upcoming Federal Open Market Committee meeting. Market players are responding to signals from Fed Chair Jerome Powell about the end of quantitative tightening, suggesting an easing cycle that could increase liquidity and fuel market rallies. Bitcoin’s price has already rebounded from around $107,600 to just above $116,000 in recent days, supported by a rise in open interest from $33 billion to nearly $38 billion. Analyst Gracy Chen, CEO of Bitget, told Decrypt that Bitcoin could push toward $118,000 to $120,000 by the end of the month if it maintains levels above $112,000, driven by strong ETF inflows and easing trade tensions.</w:t>
      </w:r>
      <w:r/>
    </w:p>
    <w:p>
      <w:r/>
      <w:r>
        <w:t>However, not all segments of the market reflect uniform bullishness. Bitcoin futures traders on some platforms have been trimming their leveraged positions, with open interest on certain exchanges dropping by about $2 billion over five days, signalling a more cautious stance ahead of the Fed meeting. This is contrasted by strong spot demand, particularly on Coinbase, where traders are actively defending Bitcoin's $115,000 level, suggesting robust underlying support even as leveraged futures exposure moderates. This cautious approach highlights market participants’ awareness of leverage-driven volatility risks.</w:t>
      </w:r>
      <w:r/>
    </w:p>
    <w:p>
      <w:r/>
      <w:r>
        <w:t>Beyond Bitcoin, altcoins have seen a notable surge in open interest, which now totals around $38 billion, overtaking Ethereum's $30 billion specifically. This shift reflects traders' rotation toward 'altseason,' driven by anticipation of favourable policy easing and the potential for outsized gains in altcoins compared to Bitcoin. Analysts warn that such concentrated leverage, now at record levels in some altcoin markets, could significantly amplify price swings, especially if the Fed's messaging diverges from expectations, triggering heightened volatility.</w:t>
      </w:r>
      <w:r/>
    </w:p>
    <w:p>
      <w:r/>
      <w:r>
        <w:t>Historically, Bitcoin has demonstrated sharp reactions to Federal Reserve policy moves. The mixed sentiment in the market is understandable given the dual possibilities—should the Fed confirm dovish signals, a strong rally could unfold, but any hawkish surprises risk swift corrections. Current leverage ratios and the substantial open interest, combined with institutional adoption, compound the macro-driven speculative dynamics at play. For example, options data shows clusters of bullish bets targeting $120,000 to $150,000 in Bitcoin, with critical strike prices and upcoming options expirations suggesting that volatility could spike around key dates.</w:t>
      </w:r>
      <w:r/>
    </w:p>
    <w:p>
      <w:r/>
      <w:r>
        <w:t>Market watchers also point to record-high open interest figures across major altcoins like Ethereum and Solana, with futures leverage reaching all-time highs. While this activity underscores robust participation and optimism, it equally raises alarms about potential downside risks from forced liquidations and sudden price swings. Similarly, the crypto market’s reaction to the last few weaker inflation prints and macro cues has delivered a broad risk-on rally, yet the buildup of leverage means that traders should brace for price movements that may be amplified in either direction.</w:t>
      </w:r>
      <w:r/>
    </w:p>
    <w:p>
      <w:r/>
      <w:r>
        <w:t xml:space="preserve">In summary, the crypto market is poised at a delicate juncture, driven by strong bullish sentiment priced around an expected Fed rate cut, supported by elevated open interest and institutional flows. Nonetheless, the accompanying high leverage levels and data uncertainties—exacerbated by the ongoing U.S. government shutdown limiting economic visibility—mean that volatility risks remain significant. Market participants are advised to remain vigilant as the Federal Reserve’s upcoming decision and subsequent communications could decisively shape the next phase of crypto market behaviour. </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(Decrypt) </w:t>
      </w:r>
      <w:r/>
    </w:p>
    <w:p>
      <w:pPr>
        <w:pStyle w:val="ListBullet"/>
        <w:spacing w:line="240" w:lineRule="auto"/>
        <w:ind w:left="720"/>
      </w:pPr>
      <w:r/>
      <w:r>
        <w:t xml:space="preserve">Paragraph 2 – </w:t>
      </w:r>
      <w:hyperlink r:id="rId9">
        <w:r>
          <w:rPr>
            <w:color w:val="0000EE"/>
            <w:u w:val="single"/>
          </w:rPr>
          <w:t>[1]</w:t>
        </w:r>
      </w:hyperlink>
      <w:r>
        <w:t xml:space="preserve"> (Decrypt) </w:t>
      </w:r>
      <w:r/>
    </w:p>
    <w:p>
      <w:pPr>
        <w:pStyle w:val="ListBullet"/>
        <w:spacing w:line="240" w:lineRule="auto"/>
        <w:ind w:left="720"/>
      </w:pPr>
      <w:r/>
      <w:r>
        <w:t xml:space="preserve">Paragraph 3 – </w:t>
      </w:r>
      <w:hyperlink r:id="rId10">
        <w:r>
          <w:rPr>
            <w:color w:val="0000EE"/>
            <w:u w:val="single"/>
          </w:rPr>
          <w:t>[2]</w:t>
        </w:r>
      </w:hyperlink>
      <w:r>
        <w:t xml:space="preserve"> (Cointelegraph), </w:t>
      </w:r>
      <w:hyperlink r:id="rId9">
        <w:r>
          <w:rPr>
            <w:color w:val="0000EE"/>
            <w:u w:val="single"/>
          </w:rPr>
          <w:t>[1]</w:t>
        </w:r>
      </w:hyperlink>
      <w:r>
        <w:t xml:space="preserve"> (Decrypt) </w:t>
      </w:r>
      <w:r/>
    </w:p>
    <w:p>
      <w:pPr>
        <w:pStyle w:val="ListBullet"/>
        <w:spacing w:line="240" w:lineRule="auto"/>
        <w:ind w:left="720"/>
      </w:pPr>
      <w:r/>
      <w:r>
        <w:t xml:space="preserve">Paragraph 4 – </w:t>
      </w:r>
      <w:hyperlink r:id="rId11">
        <w:r>
          <w:rPr>
            <w:color w:val="0000EE"/>
            <w:u w:val="single"/>
          </w:rPr>
          <w:t>[3]</w:t>
        </w:r>
      </w:hyperlink>
      <w:r>
        <w:t xml:space="preserve"> (CoinMarketCap) </w:t>
      </w:r>
      <w:r/>
    </w:p>
    <w:p>
      <w:pPr>
        <w:pStyle w:val="ListBullet"/>
        <w:spacing w:line="240" w:lineRule="auto"/>
        <w:ind w:left="720"/>
      </w:pPr>
      <w:r/>
      <w:r>
        <w:t xml:space="preserve">Paragraph 5 – </w:t>
      </w:r>
      <w:hyperlink r:id="rId12">
        <w:r>
          <w:rPr>
            <w:color w:val="0000EE"/>
            <w:u w:val="single"/>
          </w:rPr>
          <w:t>[4]</w:t>
        </w:r>
      </w:hyperlink>
      <w:r>
        <w:t xml:space="preserve"> (Ainvest), </w:t>
      </w:r>
      <w:hyperlink r:id="rId9">
        <w:r>
          <w:rPr>
            <w:color w:val="0000EE"/>
            <w:u w:val="single"/>
          </w:rPr>
          <w:t>[1]</w:t>
        </w:r>
      </w:hyperlink>
      <w:r>
        <w:t xml:space="preserve"> (Decrypt) </w:t>
      </w:r>
      <w:r/>
    </w:p>
    <w:p>
      <w:pPr>
        <w:pStyle w:val="ListBullet"/>
        <w:spacing w:line="240" w:lineRule="auto"/>
        <w:ind w:left="720"/>
      </w:pPr>
      <w:r/>
      <w:r>
        <w:t xml:space="preserve">Paragraph 6 – </w:t>
      </w:r>
      <w:hyperlink r:id="rId13">
        <w:r>
          <w:rPr>
            <w:color w:val="0000EE"/>
            <w:u w:val="single"/>
          </w:rPr>
          <w:t>[6]</w:t>
        </w:r>
      </w:hyperlink>
      <w:r>
        <w:t xml:space="preserve"> (Panewslab), </w:t>
      </w:r>
      <w:hyperlink r:id="rId14">
        <w:r>
          <w:rPr>
            <w:color w:val="0000EE"/>
            <w:u w:val="single"/>
          </w:rPr>
          <w:t>[5]</w:t>
        </w:r>
      </w:hyperlink>
      <w:r>
        <w:t xml:space="preserve"> (TheBlock) </w:t>
      </w:r>
      <w:r/>
    </w:p>
    <w:p>
      <w:pPr>
        <w:pStyle w:val="ListBullet"/>
        <w:spacing w:line="240" w:lineRule="auto"/>
        <w:ind w:left="720"/>
      </w:pPr>
      <w:r/>
      <w:r>
        <w:t xml:space="preserve">Paragraph 7 – </w:t>
      </w:r>
      <w:hyperlink r:id="rId14">
        <w:r>
          <w:rPr>
            <w:color w:val="0000EE"/>
            <w:u w:val="single"/>
          </w:rPr>
          <w:t>[5]</w:t>
        </w:r>
      </w:hyperlink>
      <w:r>
        <w:t xml:space="preserve"> (TheBlock), </w:t>
      </w:r>
      <w:hyperlink r:id="rId15">
        <w:r>
          <w:rPr>
            <w:color w:val="0000EE"/>
            <w:u w:val="single"/>
          </w:rPr>
          <w:t>[7]</w:t>
        </w:r>
      </w:hyperlink>
      <w:r>
        <w:t xml:space="preserve"> (MEXC)</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https://decrypt.co/346292/bitcoin-leverage-nears-40b-ahead-key-fed-vote</w:t>
        </w:r>
      </w:hyperlink>
      <w:r>
        <w:t xml:space="preserve"> - Please view link - unable to able to access data</w:t>
      </w:r>
      <w:r/>
    </w:p>
    <w:p>
      <w:pPr>
        <w:pStyle w:val="ListNumber"/>
        <w:spacing w:line="240" w:lineRule="auto"/>
        <w:ind w:left="720"/>
      </w:pPr>
      <w:r/>
      <w:hyperlink r:id="rId10">
        <w:r>
          <w:rPr>
            <w:color w:val="0000EE"/>
            <w:u w:val="single"/>
          </w:rPr>
          <w:t>https://cointelegraph.com/news/bitcoin-futures-traders-de-risk-for-fomc-but-coinbase-premium-shows-spot-demand</w:t>
        </w:r>
      </w:hyperlink>
      <w:r>
        <w:t xml:space="preserve"> - Bitcoin futures traders are reducing their leveraged positions ahead of the Federal Open Market Committee (FOMC) meeting, with open interest dropping by $2 billion in five days. Despite this, the Coinbase premium index indicates strong spot demand, with traders actively defending the $115,000 price level. This suggests a cautious approach in the futures market while spot demand remains robust, reflecting mixed sentiment ahead of the Fed's decision.</w:t>
      </w:r>
      <w:r/>
    </w:p>
    <w:p>
      <w:pPr>
        <w:pStyle w:val="ListNumber"/>
        <w:spacing w:line="240" w:lineRule="auto"/>
        <w:ind w:left="720"/>
      </w:pPr>
      <w:r/>
      <w:hyperlink r:id="rId11">
        <w:r>
          <w:rPr>
            <w:color w:val="0000EE"/>
            <w:u w:val="single"/>
          </w:rPr>
          <w:t>https://coinmarketcap.com/academy/article/altcoin-leverage-38b-fed-interest-rate-cut</w:t>
        </w:r>
      </w:hyperlink>
      <w:r>
        <w:t xml:space="preserve"> - Open interest in altcoins has surged to $38.6 billion ahead of the Federal Reserve's interest rate decision, surpassing Ethereum's $30 billion. This increase is attributed to traders' eagerness for an 'altseason' as they rotate capital away from Bitcoin. The positioning suggests that sophisticated market participants are preparing for the Fed's policy decision, with potential for significant volatility if the Fed's messaging contradicts trader expectations.</w:t>
      </w:r>
      <w:r/>
    </w:p>
    <w:p>
      <w:pPr>
        <w:pStyle w:val="ListNumber"/>
        <w:spacing w:line="240" w:lineRule="auto"/>
        <w:ind w:left="720"/>
      </w:pPr>
      <w:r/>
      <w:hyperlink r:id="rId12">
        <w:r>
          <w:rPr>
            <w:color w:val="0000EE"/>
            <w:u w:val="single"/>
          </w:rPr>
          <w:t>https://www.ainvest.com/news/bitcoin-volatility-fed-macro-driven-speculative-playbook-2509/</w:t>
        </w:r>
      </w:hyperlink>
      <w:r>
        <w:t xml:space="preserve"> - Bitcoin's price action ahead of the Federal Reserve's September 2025 policy decision reflects macro-driven speculation. The cryptocurrency is near $115,000, with the market divided between optimism and caution. Historical patterns suggest that dovish Fed outcomes could trigger significant rallies, while hawkish surprises risk sharp corrections. Leverage ratios at 10.2% and $96 billion open interest amplify volatility risks, with institutional adoption adding macro credibility.</w:t>
      </w:r>
      <w:r/>
    </w:p>
    <w:p>
      <w:pPr>
        <w:pStyle w:val="ListNumber"/>
        <w:spacing w:line="240" w:lineRule="auto"/>
        <w:ind w:left="720"/>
      </w:pPr>
      <w:r/>
      <w:hyperlink r:id="rId14">
        <w:r>
          <w:rPr>
            <w:color w:val="0000EE"/>
            <w:u w:val="single"/>
          </w:rPr>
          <w:t>https://www.theblock.co/post/366910/altcoins-open-interest-market</w:t>
        </w:r>
      </w:hyperlink>
      <w:r>
        <w:t xml:space="preserve"> - Analysts are increasingly attentive to crypto leverage levels as digital assets extended gains after a softer U.S. inflation print. Timothy Misir, head of research at BRN, noted that macro cues and Wall Street inflows have triggered a broad risk-on rally. The rise in open interest across altcoins, reaching a record $47 billion, raises concerns about potential volatility, as leverage concentrations can amplify price movements into resistance bands.</w:t>
      </w:r>
      <w:r/>
    </w:p>
    <w:p>
      <w:pPr>
        <w:pStyle w:val="ListNumber"/>
        <w:spacing w:line="240" w:lineRule="auto"/>
        <w:ind w:left="720"/>
      </w:pPr>
      <w:r/>
      <w:hyperlink r:id="rId13">
        <w:r>
          <w:rPr>
            <w:color w:val="0000EE"/>
            <w:u w:val="single"/>
          </w:rPr>
          <w:t>https://www.panewslab.com/en/articles/2a30a881-32c2-4f67-8c36-0485052a482e</w:t>
        </w:r>
      </w:hyperlink>
      <w:r>
        <w:t xml:space="preserve"> - Following the Federal Reserve's rate cut, the crypto market exhibits a mix of bullish sentiment and high leverage risks. Options data shows record-high open interest with significant bullish bets targeting $120K-$150K for Bitcoin. The $110,000 strike price is critical, with a major options expiration on September 26th potentially causing high volatility. Futures market leverage is at all-time highs, with open interest for Ethereum and Solana far exceeding previous cycles, indicating extreme speculation and raising risks of sharp corrections.</w:t>
      </w:r>
      <w:r/>
    </w:p>
    <w:p>
      <w:pPr>
        <w:pStyle w:val="ListNumber"/>
        <w:spacing w:line="240" w:lineRule="auto"/>
        <w:ind w:left="720"/>
      </w:pPr>
      <w:r/>
      <w:hyperlink r:id="rId15">
        <w:r>
          <w:rPr>
            <w:color w:val="0000EE"/>
            <w:u w:val="single"/>
          </w:rPr>
          <w:t>https://www.mexc.com/news/bitcoin-volatility-predicted-as-fed-eyes-interest-rate-cut/99618</w:t>
        </w:r>
      </w:hyperlink>
      <w:r>
        <w:t xml:space="preserve"> - Bitcoin traders are anticipating potential volatility with a possible Federal Reserve rate cut announcement. Historically, unexpected dovish shifts lead to heightened volatility in Bitcoin markets. Analysts predict a moderate market rise due to preemptive pricing of the expected rate cut, suggesting that the market has already priced in the anticipated 25 basis point cut, leading to a muted reaction and steady performance in Bitcoin's price.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ecrypt.co/346292/bitcoin-leverage-nears-40b-ahead-key-fed-vote" TargetMode="External"/><Relationship Id="rId10" Type="http://schemas.openxmlformats.org/officeDocument/2006/relationships/hyperlink" Target="https://cointelegraph.com/news/bitcoin-futures-traders-de-risk-for-fomc-but-coinbase-premium-shows-spot-demand" TargetMode="External"/><Relationship Id="rId11" Type="http://schemas.openxmlformats.org/officeDocument/2006/relationships/hyperlink" Target="https://coinmarketcap.com/academy/article/altcoin-leverage-38b-fed-interest-rate-cut" TargetMode="External"/><Relationship Id="rId12" Type="http://schemas.openxmlformats.org/officeDocument/2006/relationships/hyperlink" Target="https://www.ainvest.com/news/bitcoin-volatility-fed-macro-driven-speculative-playbook-2509/" TargetMode="External"/><Relationship Id="rId13" Type="http://schemas.openxmlformats.org/officeDocument/2006/relationships/hyperlink" Target="https://www.panewslab.com/en/articles/2a30a881-32c2-4f67-8c36-0485052a482e" TargetMode="External"/><Relationship Id="rId14" Type="http://schemas.openxmlformats.org/officeDocument/2006/relationships/hyperlink" Target="https://www.theblock.co/post/366910/altcoins-open-interest-market" TargetMode="External"/><Relationship Id="rId15" Type="http://schemas.openxmlformats.org/officeDocument/2006/relationships/hyperlink" Target="https://www.mexc.com/news/bitcoin-volatility-predicted-as-fed-eyes-interest-rate-cut/99618"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