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HSBC's strategic overhaul amid legal charges and regional challenges dampen profits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HSBC, Europe’s largest lender, reported a 14 per cent decline in its third-quarter pre-tax profits, posting $7.3 billion for the three months ending September 30, falling short of analyst expectations. This dip largely stems from significant legal charges and restructuring-related expenses as the bank presses ahead with a broad strategic overhaul under its chief executive, Georges Elhedery. Operating expenses before amortisation rose by 20 per cent year on year to $9.1 billion, reflecting severance costs associated with the ongoing restructuring initiatives. The bank also set aside $1 billion for expected credit losses, particularly linked to commercial property loans in Hong Kong and the Middle East, slightly surpassing market forecasts.</w:t>
      </w:r>
      <w:r/>
    </w:p>
    <w:p>
      <w:r/>
      <w:r>
        <w:t>CEO Georges Elhedery, who became the bank’s chief executive last year, has set in motion a wide-ranging transformation plan aimed at simplifying HSBC’s operations and focusing on core strengths, principally in Asia where the bulk of profits are generated. This strategy has included the controversial decision to shutter the bank’s investment banking units in the US and Europe and withdraw from select markets. In a move that bucks the trend of cost cutting, HSBC has committed HK$106 billion ($13.6 billion) to acquire minority interests in Hong Kong’s Hang Seng Bank, signalling a long-term regional strategic focus.</w:t>
      </w:r>
      <w:r/>
    </w:p>
    <w:p>
      <w:r/>
      <w:r>
        <w:t>Legal challenges have also weighed heavily on HSBC’s financial results. The bank announced a $1.1 billion provision following an adverse ruling from Luxembourg’s Court of Cassation related to investor lawsuits stemming from its role in the Bernard Madoff Ponzi scheme. This ruling rejected parts of HSBC’s appeal, forcing the bank to set aside significant funds for restitution claims, including up to $8.1 billion sought by claimant Herald Fund SPC. Despite this setback, HSBC indicated its intention to pursue further legal appeals, suggesting the final financial impact is yet to be settled. The legal provision reduced the bank’s common equity tier one capital ratio by 0.15 percentage points and, together with other recent costs such as the Hang Seng Bank acquisition, has put pressure on the bank’s capital position.</w:t>
      </w:r>
      <w:r/>
    </w:p>
    <w:p>
      <w:r/>
      <w:r>
        <w:t>Additional legal charges included $300 million related to historical trading issues at HSBC Bank plc, underscoring the ongoing impact of legacy risks from past business activities. Nonetheless, HSBC remains cautiously optimistic, raising its net interest income forecast for 2025 to $43 billion, compared to an earlier $42 billion projection, reflecting underlying operational resilience even amid these headwinds.</w:t>
      </w:r>
      <w:r/>
    </w:p>
    <w:p>
      <w:r/>
      <w:r>
        <w:t>The restructuring has also involved significant organisational changes, with departures at senior levels, such as Gregory Bunn, head of securities financing for the Americas. HSBC is integrating securities financing into its equities and fixed-income divisions, reflecting a strategic consolidation of markets units. Despite some business lines being wound down, certain operations like prime finance have experienced strong revenue growth, indicating selective growth opportunities within the reorganisation.</w:t>
      </w:r>
      <w:r/>
    </w:p>
    <w:p>
      <w:r/>
      <w:r>
        <w:t>Cost management has been a critical theme in HSBC’s recent operations. The bank’s 2024 financial report highlighted a 3 per cent reduction in staff numbers and a largely unchanged bonus pool, signalling a disciplined approach to expense control amid the transformation drive. CEO Elhedery’s remuneration package reflects both fixed and potential variable pay enhancements, coinciding with the UK’s removal of bonus caps, and aligns with the broader management push to align incentives with performance and cost efficiency.</w:t>
      </w:r>
      <w:r/>
    </w:p>
    <w:p>
      <w:r/>
      <w:r>
        <w:t>However, the bank continues to face financial strains from its exposure to China and Hong Kong’s real estate market, which led to large impairments in the first half of 2025. These regional challenges have contributed to a 26 per cent profit drop in the first half and include substantial write-downs on its stake in China’s Bank of Communications. Despite these regional struggles, HSBC’s corporate and institutional banking division remains a pillar of profitability, with a modest increase in earnings reported earlier in the year.</w:t>
      </w:r>
      <w:r/>
    </w:p>
    <w:p>
      <w:r/>
      <w:r>
        <w:t>HSBC’s ongoing challenges appear intertwined with its efforts to shed complex legacy issues, manage legal and credit risks, and focus its operations on more profitable markets in Asia. The bank’s strategy under Elhedery is a marked shift towards agility and simplicity, but the road ahead remains fraught with legal uncertainties and economic pressures in its key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(Financial Times),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(Financial Times), </w:t>
      </w:r>
      <w:hyperlink r:id="rId11">
        <w:r>
          <w:rPr>
            <w:color w:val="0000EE"/>
            <w:u w:val="single"/>
          </w:rPr>
          <w:t>[4]</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(Financial Times), </w:t>
      </w:r>
      <w:hyperlink r:id="rId12">
        <w:r>
          <w:rPr>
            <w:color w:val="0000EE"/>
            <w:u w:val="single"/>
          </w:rPr>
          <w:t>[3]</w:t>
        </w:r>
      </w:hyperlink>
      <w:r>
        <w:t xml:space="preserve"> (Reuters)</w:t>
      </w:r>
      <w:r/>
    </w:p>
    <w:p>
      <w:pPr>
        <w:pStyle w:val="ListBullet"/>
        <w:spacing w:line="240" w:lineRule="auto"/>
        <w:ind w:left="720"/>
      </w:pPr>
      <w:r/>
      <w:r>
        <w:t xml:space="preserve">Paragraph 4 – </w:t>
      </w:r>
      <w:hyperlink r:id="rId10">
        <w:r>
          <w:rPr>
            <w:color w:val="0000EE"/>
            <w:u w:val="single"/>
          </w:rPr>
          <w:t>[2]</w:t>
        </w:r>
      </w:hyperlink>
      <w:r>
        <w:t xml:space="preserve"> (Reuters), </w:t>
      </w:r>
      <w:hyperlink r:id="rId12">
        <w:r>
          <w:rPr>
            <w:color w:val="0000EE"/>
            <w:u w:val="single"/>
          </w:rPr>
          <w:t>[3]</w:t>
        </w:r>
      </w:hyperlink>
      <w:r>
        <w:t xml:space="preserve"> (Reuters)</w:t>
      </w:r>
      <w:r/>
    </w:p>
    <w:p>
      <w:pPr>
        <w:pStyle w:val="ListBullet"/>
        <w:spacing w:line="240" w:lineRule="auto"/>
        <w:ind w:left="720"/>
      </w:pPr>
      <w:r/>
      <w:r>
        <w:t xml:space="preserve">Paragraph 5 – </w:t>
      </w:r>
      <w:hyperlink r:id="rId11">
        <w:r>
          <w:rPr>
            <w:color w:val="0000EE"/>
            <w:u w:val="single"/>
          </w:rPr>
          <w:t>[4]</w:t>
        </w:r>
      </w:hyperlink>
      <w:r>
        <w:t xml:space="preserve"> (Reuters), </w:t>
      </w:r>
      <w:hyperlink r:id="rId13">
        <w:r>
          <w:rPr>
            <w:color w:val="0000EE"/>
            <w:u w:val="single"/>
          </w:rPr>
          <w:t>[5]</w:t>
        </w:r>
      </w:hyperlink>
      <w:r>
        <w:t xml:space="preserve"> (Reuters)</w:t>
      </w:r>
      <w:r/>
    </w:p>
    <w:p>
      <w:pPr>
        <w:pStyle w:val="ListBullet"/>
        <w:spacing w:line="240" w:lineRule="auto"/>
        <w:ind w:left="720"/>
      </w:pPr>
      <w:r/>
      <w:r>
        <w:t xml:space="preserve">Paragraph 6 – </w:t>
      </w:r>
      <w:hyperlink r:id="rId13">
        <w:r>
          <w:rPr>
            <w:color w:val="0000EE"/>
            <w:u w:val="single"/>
          </w:rPr>
          <w:t>[5]</w:t>
        </w:r>
      </w:hyperlink>
      <w:r>
        <w:t xml:space="preserve"> (Reuters), </w:t>
      </w:r>
      <w:hyperlink r:id="rId14">
        <w:r>
          <w:rPr>
            <w:color w:val="0000EE"/>
            <w:u w:val="single"/>
          </w:rPr>
          <w:t>[6]</w:t>
        </w:r>
      </w:hyperlink>
      <w:r>
        <w:t xml:space="preserve"> (Reuters)</w:t>
      </w:r>
      <w:r/>
    </w:p>
    <w:p>
      <w:pPr>
        <w:pStyle w:val="ListBullet"/>
        <w:spacing w:line="240" w:lineRule="auto"/>
        <w:ind w:left="720"/>
      </w:pPr>
      <w:r/>
      <w:r>
        <w:t xml:space="preserve">Paragraph 7 – </w:t>
      </w:r>
      <w:hyperlink r:id="rId14">
        <w:r>
          <w:rPr>
            <w:color w:val="0000EE"/>
            <w:u w:val="single"/>
          </w:rPr>
          <w:t>[6]</w:t>
        </w:r>
      </w:hyperlink>
      <w:r>
        <w:t xml:space="preserve"> (Reuters), </w:t>
      </w:r>
      <w:hyperlink r:id="rId9">
        <w:r>
          <w:rPr>
            <w:color w:val="0000EE"/>
            <w:u w:val="single"/>
          </w:rPr>
          <w:t>[1]</w:t>
        </w:r>
      </w:hyperlink>
      <w:r>
        <w:t xml:space="preserve"> (Financial Times)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https://www.ft.com/content/611b8dd2-1f46-4d6d-b583-6701700f8b60</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https://www.reuters.com/business/finance/hsbc-third-quarter-profit-slides-14-hit-by-14-billion-litigation-charge-2025-10-28/</w:t>
        </w:r>
      </w:hyperlink>
      <w:r>
        <w:t xml:space="preserve"> - HSBC Holdings reported a 14% drop in third-quarter pretax profit, primarily due to a $1.1 billion legal charge linked to a partial loss in an appeal involving Bernard Madoff’s infamous Ponzi scheme. Additionally, the bank incurred another $300 million legal charge related to historical trading activities at HSBC Bank plc. Despite these setbacks, the bank remained optimistic about its earnings, raising its net interest income forecast for 2025 to $43 billion, up from June's guidance of $42 billion. Pretax profit for the quarter stood at $7.3 billion, slightly below analysts' expectations of $7.66 billion. CEO Georges Elhedery emphasized that the bank's strategic execution continues to drive positive results, even amid historical legal challenges.</w:t>
      </w:r>
      <w:r/>
    </w:p>
    <w:p>
      <w:pPr>
        <w:pStyle w:val="ListNumber"/>
        <w:spacing w:line="240" w:lineRule="auto"/>
        <w:ind w:left="720"/>
      </w:pPr>
      <w:r/>
      <w:hyperlink r:id="rId12">
        <w:r>
          <w:rPr>
            <w:color w:val="0000EE"/>
            <w:u w:val="single"/>
          </w:rPr>
          <w:t>https://www.reuters.com/business/finance/hsbc-book-11-billion-provision-after-luxembourg-court-ruling-madoff-case-2025-10-26/</w:t>
        </w:r>
      </w:hyperlink>
      <w:r>
        <w:t xml:space="preserve"> - HSBC Holdings announced a $1.1 billion provision in its Q3 financial results after losing part of an appeal in a lawsuit stemming from its role as a service provider to funds that invested with Bernard Madoff, the operator of history's largest Ponzi scheme. This legal action, initiated by Herald Fund SPC in 2009, sought restitution for assets lost in the fraud. The Luxembourg Court of Cassation rejected HSBC's appeal on securities restitution but upheld its appeal on a separate cash-related claim. Despite this provision, HSBC signaled plans to appeal again and contest the final amount, noting the potential for a significantly different financial impact. The decision negatively affected HSBC shares, dropping them by 1% and highlighting the ongoing legal repercussions tied to the 2008 financial crisis. Herald is pursuing up to $8.1 billion in total claims, including interest. The provision will reduce HSBC's common equity tier 1 capital ratio by 15 basis points, in addition to a prior 125-point impact from the $13.6 billion acquisition of Hang Seng Bank. Analysts suggest the broader financial impact may be limited given HSBC's existing pause on share buybacks. This case adds to the legacy of Madoff’s $64.8 billion fraud, which unraveled in 2008.</w:t>
      </w:r>
      <w:r/>
    </w:p>
    <w:p>
      <w:pPr>
        <w:pStyle w:val="ListNumber"/>
        <w:spacing w:line="240" w:lineRule="auto"/>
        <w:ind w:left="720"/>
      </w:pPr>
      <w:r/>
      <w:hyperlink r:id="rId11">
        <w:r>
          <w:rPr>
            <w:color w:val="0000EE"/>
            <w:u w:val="single"/>
          </w:rPr>
          <w:t>https://www.reuters.com/business/finance/hsbc-americas-head-securities-finance-leaves-amid-bank-restructuring-2025-04-08/</w:t>
        </w:r>
      </w:hyperlink>
      <w:r>
        <w:t xml:space="preserve"> - Gregory Bunn, HSBC's head of securities financing for the Americas, is departing after two years in the role as the bank restructures its operations. The securities financing unit, which includes prime finance and repo services, will be integrated into HSBC’s equities and fixed-income divisions. This move follows HSBC’s earlier announcement to wind down some equities businesses, including equity underwriting in Europe and the Americas. Despite the restructuring, the securities financing division posted a 36% revenue increase in 2024, driven by new prime finance clients. HSBC's markets unit was previously merged into its corporate and institutional banking business in December. As part of the restructuring, Loic Lebrun, global head of prime finance, will report to Franck Lacour, head of equities, while Jean-Michel Meyer, head of repo, will report to Mehmet Mazi, head of global debt markets. CEO Georges Elhedery, who assumed his role in September, is leading a significant overhaul aimed at reducing expenses by $1.8 billion by the end of 2026. HSBC declined to comment on the personnel changes. Bunn had a nearly 20-year tenure at Deutsche Bank before joining HSBC.</w:t>
      </w:r>
      <w:r/>
    </w:p>
    <w:p>
      <w:pPr>
        <w:pStyle w:val="ListNumber"/>
        <w:spacing w:line="240" w:lineRule="auto"/>
        <w:ind w:left="720"/>
      </w:pPr>
      <w:r/>
      <w:hyperlink r:id="rId13">
        <w:r>
          <w:rPr>
            <w:color w:val="0000EE"/>
            <w:u w:val="single"/>
          </w:rPr>
          <w:t>https://www.reuters.com/business/finance/hsbc-bonus-pool-flat-2024-amid-cost-cut-drive-headcount-falls-3-2025-02-19/</w:t>
        </w:r>
      </w:hyperlink>
      <w:r>
        <w:t xml:space="preserve"> - HSBC's 2024 financial report revealed a 3% drop in headcount and a nearly unchanged staff bonus pool, reflecting new CEO Georges Elhedery's focus on cost management and structural changes. The bonus pool was $3.80 billion compared to $3.77 billion in the previous year. HSBC surpassed market profit expectations, driven by growth in its wealth and markets segments. The bank, which predominantly profits from Asia, enforced rigorous cost-saving measures. Elhedery was compensated £5.4 million in 2024, potentially increasing to £15.2 million in 2025, with substantial variable pay following the UK's bonus cap removal. HSBC's workforce decreased to 220,928, with notable layoffs in Hong Kong. Salary and benefits expenses rose slightly to $20.15 billion. The bank also merged parts of its commercial and investment units and restructured leadership.</w:t>
      </w:r>
      <w:r/>
    </w:p>
    <w:p>
      <w:pPr>
        <w:pStyle w:val="ListNumber"/>
        <w:spacing w:line="240" w:lineRule="auto"/>
        <w:ind w:left="720"/>
      </w:pPr>
      <w:r/>
      <w:hyperlink r:id="rId14">
        <w:r>
          <w:rPr>
            <w:color w:val="0000EE"/>
            <w:u w:val="single"/>
          </w:rPr>
          <w:t>https://www.reuters.com/business/finance/hsbc-profit-tumbles-china-losses-mount-2025-07-30/</w:t>
        </w:r>
      </w:hyperlink>
      <w:r>
        <w:t xml:space="preserve"> - HSBC Holdings reported a 26% drop in first-half 2025 pretax profit, falling short of analysts' expectations with $15.8 billion compared to the forecasted $16.5 billion. The decline was primarily due to impairments linked to its investment in China’s Bank of Communications and Hong Kong’s troubled real estate sector. HSBC took a $2.1 billion hit from its stake in the Chinese bank, on top of a prior $3 billion impairment. The losses reflect broader economic struggles in China and persistent weakness in the Hong Kong property market, which also caused a 224% surge in credit charges at HSBC's Hang Seng Bank. Despite the setbacks, CEO Georges Elhedery is pressing on with a global restructuring, including a review of retail businesses in Australia, Indonesia, Sri Lanka, and a planned exit from Bangladesh. The bank's corporate and institutional division was a bright spot, with a 4% profit increase to $6.4 billion, while the bank announced a $3 billion share buyback and a 10-cent interim dividend. However, future profitability could be threatened by U.S. trade tariffs, and the bank expects a $1.4 billion loss from the sale of a French mortgage portfolio. HSBC is also seeking a successor for Chairman Mark Tucker, who is stepping down.</w:t>
      </w:r>
      <w:r/>
    </w:p>
    <w:p>
      <w:pPr>
        <w:pStyle w:val="ListNumber"/>
        <w:spacing w:line="240" w:lineRule="auto"/>
        <w:ind w:left="720"/>
      </w:pPr>
      <w:r/>
      <w:hyperlink r:id="rId16">
        <w:r>
          <w:rPr>
            <w:color w:val="0000EE"/>
            <w:u w:val="single"/>
          </w:rPr>
          <w:t>https://www.reuters.com/business/finance/bernie-madoff-customers-recoup-498-million-payout-tops-15-billion-2025-06-04/</w:t>
        </w:r>
      </w:hyperlink>
      <w:r>
        <w:t xml:space="preserve"> - Former customers of the late Ponzi schemer Bernard Madoff will receive an additional $498.3 million following a settlement with two Luxembourg funds, bringing the total recovery to $15.26 billion. The Luxembourg Investment Fund and Luxembourg Investment Fund U.S. Equity Plus had invested solely with Madoff's firm from 2005 to 2008, before its collapse. Trustee Irving Picard, overseeing the liquidation of Madoff's firm, confirmed that the recovered sum represents all the funds’ transfers from Madoff’s operation. Additionally, the Luxembourg funds agreed to give the bankruptcy estate 15% of proceeds from an ongoing lawsuit against UBS in Luxembourg. The settlement awaits court approval, scheduled for June 25. Picard had already recovered $14.76 billion for 2,656 validated Madoff clients out of an estimated $17.5 billion in losses. These court-monitored recoveries are distinct from the $4.3 billion disbursed by the U.S. Madoff Victim Fund to over 40,000 indirect victims, including individuals, schools, charities, and pension plans. Madoff, who confessed to the decades-long fraud in 2008 and was sentenced to 150 years in prison, died in 2021 at age 82.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611b8dd2-1f46-4d6d-b583-6701700f8b60" TargetMode="External"/><Relationship Id="rId10" Type="http://schemas.openxmlformats.org/officeDocument/2006/relationships/hyperlink" Target="https://www.reuters.com/business/finance/hsbc-third-quarter-profit-slides-14-hit-by-14-billion-litigation-charge-2025-10-28/" TargetMode="External"/><Relationship Id="rId11" Type="http://schemas.openxmlformats.org/officeDocument/2006/relationships/hyperlink" Target="https://www.reuters.com/business/finance/hsbc-americas-head-securities-finance-leaves-amid-bank-restructuring-2025-04-08/" TargetMode="External"/><Relationship Id="rId12" Type="http://schemas.openxmlformats.org/officeDocument/2006/relationships/hyperlink" Target="https://www.reuters.com/business/finance/hsbc-book-11-billion-provision-after-luxembourg-court-ruling-madoff-case-2025-10-26/" TargetMode="External"/><Relationship Id="rId13" Type="http://schemas.openxmlformats.org/officeDocument/2006/relationships/hyperlink" Target="https://www.reuters.com/business/finance/hsbc-bonus-pool-flat-2024-amid-cost-cut-drive-headcount-falls-3-2025-02-19/" TargetMode="External"/><Relationship Id="rId14" Type="http://schemas.openxmlformats.org/officeDocument/2006/relationships/hyperlink" Target="https://www.reuters.com/business/finance/hsbc-profit-tumbles-china-losses-mount-2025-07-30/"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finance/bernie-madoff-customers-recoup-498-million-payout-tops-15-billion-2025-06-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