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Hugo Boss’s concentrated ownership raises questions over governance and strategic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Hugo Boss AG’s shareholder landscape reveals a concentrated ownership model predominantly dominated by private companies, which hold approximately 41% of the shares. This substantial stake implies that key strategic decisions within the company may be substantially influenced by these private entities, alongside notable institutional involvement. Institutions collectively own around 40% of the shares, reflecting a strong vote of confidence from professional investors and highlighting the company's appeal within major investment portfolios. The remaining stake, about 19%, is held by the general public, including retail investors, who therefore maintain a meaningful but not controlling presence.</w:t>
      </w:r>
      <w:r/>
    </w:p>
    <w:p>
      <w:r/>
      <w:r>
        <w:t>The intricacies of this shareholder structure show that the top five shareholders collectively command more than half of Hugo Boss, giving them significant sway over corporate governance and decision-making processes. Among these, Mash Holdings Topco Limited emerges as the largest shareholder with a stake close to 26%. Other key shareholders include Zignago Holding S.p.A. and PFC S.r.l., which hold approximately 9.2% and 5.9% respectively. These holdings underscore a concentrated ownership pattern, which can drive company policies and strategic direction with relatively limited influence from minority shareholders.</w:t>
      </w:r>
      <w:r/>
    </w:p>
    <w:p>
      <w:r/>
      <w:r>
        <w:t>Official data from the company further complements these findings, indicating a slightly different perspective on the extended shareholder composition. According to Hugo Boss’s own disclosures around September 2025, about 58% of shares are in free float, primarily managed by institutional investors in European and American markets. Strategic major shareholders include Frasers Group Plc., holding around 25%, alongside Zignago Holding S.p.A. and PFC S.r.l., collectively maintaining about 14%. The company itself holds just under 2% of shares from a prior share buyback initiative, indicating a limited influence in treasury shares relative to external stakeholders.</w:t>
      </w:r>
      <w:r/>
    </w:p>
    <w:p>
      <w:r/>
      <w:r>
        <w:t>The company’s annual report as of the end of 2024 offers additional granularity, revealing that Frasers Group plc controls 19.25% of voting rights directly and an additional 8.95% through other financial instruments. The Marzotto family-controlled entities, PFC S.r.l. and Zignago Holding S.p.A., hold a combined strategic investment of 15.45%, reinforcing their role as significant long-term investors. Free-floating shares constitute roughly 64%, reflecting a reasonably broad market participation despite the concentrated block holdings.</w:t>
      </w:r>
      <w:r/>
    </w:p>
    <w:p>
      <w:r/>
      <w:r>
        <w:t>Ownership concentration at Hugo Boss carries both strategic advantages and potential risks. The high degree of control exerted by a few large shareholders can support cohesive strategic planning and stability, allowing for decisive leadership aligned with major investors’ interests. However, it also raises issues around governance transparency and the balance of power. Insider ownership appears limited, with no clear evidence of board members personally holding shares, which may affect alignment between leadership and shareholder interests. Moreover, private companies owning significant stakes may include related parties or holding structures, which could obscure direct accountability.</w:t>
      </w:r>
      <w:r/>
    </w:p>
    <w:p>
      <w:r/>
      <w:r>
        <w:t>Market reactions to this ownership pattern have varied, particularly given the stock’s recent performance. Over the past year, Hugo Boss’s share price has experienced a notable decline of approximately 17%, prompting increased attention to the influence of major shareholders and their role in navigating company strategy through this period. While institutional investors provide credibility and support, their presence in a "crowded trade" can increase volatility, as multiple investors may seek to sell simultaneously under adverse conditions.</w:t>
      </w:r>
      <w:r/>
    </w:p>
    <w:p>
      <w:r/>
      <w:r>
        <w:t>In summary, Hugo Boss AG's ownership profile is marked by a dominant block of private company shareholders, complemented by substantial institutional holdings and a meaningful retail investor segment. This blend offers a dynamic governance landscape where a few key players hold considerable power, shaping the company's strategic trajectory and market perception. Understanding the interactions among these varied shareholder groups will be crucial for investors evaluating governance risk and potential growth pathways for the iconic fashion brand.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Simply Wall St, </w:t>
      </w:r>
      <w:hyperlink r:id="rId9">
        <w:r>
          <w:rPr>
            <w:color w:val="0000EE"/>
            <w:u w:val="single"/>
          </w:rPr>
          <w:t>[2]</w:t>
        </w:r>
      </w:hyperlink>
      <w:r>
        <w:t xml:space="preserve"> Simply Wall St </w:t>
      </w:r>
      <w:r/>
    </w:p>
    <w:p>
      <w:pPr>
        <w:pStyle w:val="ListBullet"/>
        <w:spacing w:line="240" w:lineRule="auto"/>
        <w:ind w:left="720"/>
      </w:pPr>
      <w:r/>
      <w:r>
        <w:t xml:space="preserve">Paragraph 2 – </w:t>
      </w:r>
      <w:hyperlink r:id="rId9">
        <w:r>
          <w:rPr>
            <w:color w:val="0000EE"/>
            <w:u w:val="single"/>
          </w:rPr>
          <w:t>[1]</w:t>
        </w:r>
      </w:hyperlink>
      <w:r>
        <w:t xml:space="preserve"> Simply Wall St, </w:t>
      </w:r>
      <w:hyperlink r:id="rId10">
        <w:r>
          <w:rPr>
            <w:color w:val="0000EE"/>
            <w:u w:val="single"/>
          </w:rPr>
          <w:t>[5]</w:t>
        </w:r>
      </w:hyperlink>
      <w:r>
        <w:t xml:space="preserve"> Simply Wall St, </w:t>
      </w:r>
      <w:hyperlink r:id="rId11">
        <w:r>
          <w:rPr>
            <w:color w:val="0000EE"/>
            <w:u w:val="single"/>
          </w:rPr>
          <w:t>[6]</w:t>
        </w:r>
      </w:hyperlink>
      <w:r>
        <w:t xml:space="preserve"> Simply Wall St </w:t>
      </w:r>
      <w:r/>
    </w:p>
    <w:p>
      <w:pPr>
        <w:pStyle w:val="ListBullet"/>
        <w:spacing w:line="240" w:lineRule="auto"/>
        <w:ind w:left="720"/>
      </w:pPr>
      <w:r/>
      <w:r>
        <w:t xml:space="preserve">Paragraph 3 – </w:t>
      </w:r>
      <w:hyperlink r:id="rId12">
        <w:r>
          <w:rPr>
            <w:color w:val="0000EE"/>
            <w:u w:val="single"/>
          </w:rPr>
          <w:t>[3]</w:t>
        </w:r>
      </w:hyperlink>
      <w:r>
        <w:t xml:space="preserve"> Hugo Boss official website </w:t>
      </w:r>
      <w:r/>
    </w:p>
    <w:p>
      <w:pPr>
        <w:pStyle w:val="ListBullet"/>
        <w:spacing w:line="240" w:lineRule="auto"/>
        <w:ind w:left="720"/>
      </w:pPr>
      <w:r/>
      <w:r>
        <w:t xml:space="preserve">Paragraph 4 – </w:t>
      </w:r>
      <w:hyperlink r:id="rId13">
        <w:r>
          <w:rPr>
            <w:color w:val="0000EE"/>
            <w:u w:val="single"/>
          </w:rPr>
          <w:t>[4]</w:t>
        </w:r>
      </w:hyperlink>
      <w:r>
        <w:t xml:space="preserve"> Hugo Boss Annual Report 2024 </w:t>
      </w:r>
      <w:r/>
    </w:p>
    <w:p>
      <w:pPr>
        <w:pStyle w:val="ListBullet"/>
        <w:spacing w:line="240" w:lineRule="auto"/>
        <w:ind w:left="720"/>
      </w:pPr>
      <w:r/>
      <w:r>
        <w:t xml:space="preserve">Paragraph 5 – </w:t>
      </w:r>
      <w:hyperlink r:id="rId9">
        <w:r>
          <w:rPr>
            <w:color w:val="0000EE"/>
            <w:u w:val="single"/>
          </w:rPr>
          <w:t>[1]</w:t>
        </w:r>
      </w:hyperlink>
      <w:r>
        <w:t xml:space="preserve"> Simply Wall St, </w:t>
      </w:r>
      <w:hyperlink r:id="rId9">
        <w:r>
          <w:rPr>
            <w:color w:val="0000EE"/>
            <w:u w:val="single"/>
          </w:rPr>
          <w:t>[2]</w:t>
        </w:r>
      </w:hyperlink>
      <w:r>
        <w:t xml:space="preserve"> Simply Wall St </w:t>
      </w:r>
      <w:r/>
    </w:p>
    <w:p>
      <w:pPr>
        <w:pStyle w:val="ListBullet"/>
        <w:spacing w:line="240" w:lineRule="auto"/>
        <w:ind w:left="720"/>
      </w:pPr>
      <w:r/>
      <w:r>
        <w:t xml:space="preserve">Paragraph 6 – </w:t>
      </w:r>
      <w:hyperlink r:id="rId14">
        <w:r>
          <w:rPr>
            <w:color w:val="0000EE"/>
            <w:u w:val="single"/>
          </w:rPr>
          <w:t>[7]</w:t>
        </w:r>
      </w:hyperlink>
      <w:r>
        <w:t xml:space="preserve"> Simply Wall St </w:t>
      </w:r>
      <w:r/>
    </w:p>
    <w:p>
      <w:pPr>
        <w:pStyle w:val="ListBullet"/>
        <w:spacing w:line="240" w:lineRule="auto"/>
        <w:ind w:left="720"/>
      </w:pPr>
      <w:r/>
      <w:r>
        <w:t xml:space="preserve">Paragraph 7 – </w:t>
      </w:r>
      <w:hyperlink r:id="rId9">
        <w:r>
          <w:rPr>
            <w:color w:val="0000EE"/>
            <w:u w:val="single"/>
          </w:rPr>
          <w:t>[1]</w:t>
        </w:r>
      </w:hyperlink>
      <w:r>
        <w:t xml:space="preserve"> Simply Wall St, </w:t>
      </w:r>
      <w:hyperlink r:id="rId12">
        <w:r>
          <w:rPr>
            <w:color w:val="0000EE"/>
            <w:u w:val="single"/>
          </w:rPr>
          <w:t>[3]</w:t>
        </w:r>
      </w:hyperlink>
      <w:r>
        <w:t xml:space="preserve"> Hugo Boss official website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https://simplywall.st/stocks/de/consumer-durables/etr-boss/hugo-boss-shares/news/hugo-boss-ags-etrboss-largest-shareholders-are-private-compa</w:t>
        </w:r>
      </w:hyperlink>
      <w:r>
        <w:t xml:space="preserve"> - Please view link - unable to able to access data</w:t>
      </w:r>
      <w:r/>
    </w:p>
    <w:p>
      <w:pPr>
        <w:pStyle w:val="ListNumber"/>
        <w:spacing w:line="240" w:lineRule="auto"/>
        <w:ind w:left="720"/>
      </w:pPr>
      <w:r/>
      <w:hyperlink r:id="rId9">
        <w:r>
          <w:rPr>
            <w:color w:val="0000EE"/>
            <w:u w:val="single"/>
          </w:rPr>
          <w:t>https://simplywall.st/stocks/de/consumer-durables/etr-boss/hugo-boss-shares/news/hugo-boss-ags-etrboss-largest-shareholders-are-private-compa</w:t>
        </w:r>
      </w:hyperlink>
      <w:r>
        <w:t xml:space="preserve"> - This article from Simply Wall St provides an analysis of Hugo Boss AG's shareholder structure, highlighting that private companies hold 41% of the shares, institutions own 40%, and the general public holds 19%. It discusses the implications of this ownership distribution on the company's decision-making processes and suggests that the significant private company ownership indicates substantial influence over key decisions. The article also notes that the top five shareholders collectively control more than half of the company, underscoring their considerable sway over corporate governance.</w:t>
      </w:r>
      <w:r/>
    </w:p>
    <w:p>
      <w:pPr>
        <w:pStyle w:val="ListNumber"/>
        <w:spacing w:line="240" w:lineRule="auto"/>
        <w:ind w:left="720"/>
      </w:pPr>
      <w:r/>
      <w:hyperlink r:id="rId12">
        <w:r>
          <w:rPr>
            <w:color w:val="0000EE"/>
            <w:u w:val="single"/>
          </w:rPr>
          <w:t>https://group.hugoboss.com/en/investors/share/shareholder-structure</w:t>
        </w:r>
      </w:hyperlink>
      <w:r>
        <w:t xml:space="preserve"> - HUGO BOSS's official website outlines the company's shareholder structure as of September 2025. It states that approximately 58% of shares are in free float, primarily held by institutional investors from Europe and the Americas. The strategic major shareholders include Frasers Group Plc. with 25% ownership, and PFC S.r.l. and Zignago Holding S.p.A. collectively holding 14%. The company itself holds about 2% of its own shares, purchased during a share buyback scheme from 2004 to 2007.</w:t>
      </w:r>
      <w:r/>
    </w:p>
    <w:p>
      <w:pPr>
        <w:pStyle w:val="ListNumber"/>
        <w:spacing w:line="240" w:lineRule="auto"/>
        <w:ind w:left="720"/>
      </w:pPr>
      <w:r/>
      <w:hyperlink r:id="rId13">
        <w:r>
          <w:rPr>
            <w:color w:val="0000EE"/>
            <w:u w:val="single"/>
          </w:rPr>
          <w:t>https://annualreport-2024.hugoboss.com/to-our-shareholders/our-share.html</w:t>
        </w:r>
      </w:hyperlink>
      <w:r>
        <w:t xml:space="preserve"> - The HUGO BOSS Annual Report 2024 provides detailed information on the company's shareholder structure as of December 31, 2024. It reports that Frasers Group plc directly held 19.25% of the voting rights, with an additional 8.95% held through instruments. PFC S.r.l. and Zignago Holding S.p.A., each controlled by the Marzotto family, maintained a combined strategic investment of 15.45%. The company itself held 1.97% of its own shares, and the remaining 64% were in free float.</w:t>
      </w:r>
      <w:r/>
    </w:p>
    <w:p>
      <w:pPr>
        <w:pStyle w:val="ListNumber"/>
        <w:spacing w:line="240" w:lineRule="auto"/>
        <w:ind w:left="720"/>
      </w:pPr>
      <w:r/>
      <w:hyperlink r:id="rId10">
        <w:r>
          <w:rPr>
            <w:color w:val="0000EE"/>
            <w:u w:val="single"/>
          </w:rPr>
          <w:t>https://simplywall.st/stocks/us/consumer-durables/otc-boss.y/hugo-boss/ownership</w:t>
        </w:r>
      </w:hyperlink>
      <w:r>
        <w:t xml:space="preserve"> - Simply Wall St's analysis of Hugo Boss AG's ownership structure indicates that private companies own 40.8% of the shares, institutions hold 39.7%, and the general public owns 19.5%. The top three shareholders are Mash Holdings Topco Limited with 25.7%, Zignago Holding S.p.A. with 9.21%, and PFC S.r.l. with 5.89%. The article also notes that the top 25 shareholders collectively own 83.77% of the company, highlighting the concentrated ownership.</w:t>
      </w:r>
      <w:r/>
    </w:p>
    <w:p>
      <w:pPr>
        <w:pStyle w:val="ListNumber"/>
        <w:spacing w:line="240" w:lineRule="auto"/>
        <w:ind w:left="720"/>
      </w:pPr>
      <w:r/>
      <w:hyperlink r:id="rId11">
        <w:r>
          <w:rPr>
            <w:color w:val="0000EE"/>
            <w:u w:val="single"/>
          </w:rPr>
          <w:t>https://simplywall.st/stocks/de/consumer-durables/etr-boss/hugo-boss-shares/ownership</w:t>
        </w:r>
      </w:hyperlink>
      <w:r>
        <w:t xml:space="preserve"> - This Simply Wall St report on Hugo Boss AG's ownership structure reveals that private companies hold 40.8% of the shares, institutions own 40.1%, and the general public holds 19.1%. The top three shareholders are Mash Holdings Topco Limited with 25.7%, Zignago Holding S.p.A. with 9.21%, and PFC S.r.l. with 5.89%. The article emphasizes the significant influence of the top shareholders on the company's governance.</w:t>
      </w:r>
      <w:r/>
    </w:p>
    <w:p>
      <w:pPr>
        <w:pStyle w:val="ListNumber"/>
        <w:spacing w:line="240" w:lineRule="auto"/>
        <w:ind w:left="720"/>
      </w:pPr>
      <w:r/>
      <w:hyperlink r:id="rId14">
        <w:r>
          <w:rPr>
            <w:color w:val="0000EE"/>
            <w:u w:val="single"/>
          </w:rPr>
          <w:t>https://simplywall.st/stocks/de/consumer-durables/etr-boss/hugo-boss-shares/news/following-a-17-decline-over-last-year-recent-gains-may-pleas-4</w:t>
        </w:r>
      </w:hyperlink>
      <w:r>
        <w:t xml:space="preserve"> - This Simply Wall St news article discusses the performance of Hugo Boss AG's stock, noting a 17% decline over the past year. It highlights that the top five shareholders collectively own more than half of the company, suggesting their significant influence on the company's decision-making. The article also mentions that while institutional investors hold a substantial stake, the general public's ownership is considerable, indicating a balance of interests among shareholders.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de/consumer-durables/etr-boss/hugo-boss-shares/news/hugo-boss-ags-etrboss-largest-shareholders-are-private-compa" TargetMode="External"/><Relationship Id="rId10" Type="http://schemas.openxmlformats.org/officeDocument/2006/relationships/hyperlink" Target="https://simplywall.st/stocks/us/consumer-durables/otc-boss.y/hugo-boss/ownership" TargetMode="External"/><Relationship Id="rId11" Type="http://schemas.openxmlformats.org/officeDocument/2006/relationships/hyperlink" Target="https://simplywall.st/stocks/de/consumer-durables/etr-boss/hugo-boss-shares/ownership" TargetMode="External"/><Relationship Id="rId12" Type="http://schemas.openxmlformats.org/officeDocument/2006/relationships/hyperlink" Target="https://group.hugoboss.com/en/investors/share/shareholder-structure" TargetMode="External"/><Relationship Id="rId13" Type="http://schemas.openxmlformats.org/officeDocument/2006/relationships/hyperlink" Target="https://annualreport-2024.hugoboss.com/to-our-shareholders/our-share.html" TargetMode="External"/><Relationship Id="rId14" Type="http://schemas.openxmlformats.org/officeDocument/2006/relationships/hyperlink" Target="https://simplywall.st/stocks/de/consumer-durables/etr-boss/hugo-boss-shares/news/following-a-17-decline-over-last-year-recent-gains-may-pleas-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