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Centurion Accommodation REIT launches Singapore’s first pure-play living accommodation IPO with strong investor demand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Centurion Accommodation REIT (CAREIT) has marked a significant milestone with its successful spin-off from Centurion Corporation and highly sought-after initial public offering (IPO) on the Singapore Exchange (SGX), creating Singapore’s first pure-play accommodation REIT. Launched in September 2025 at an IPO price of S$0.88 per unit, the offering was overwhelmingly popular, with institutional placement oversubscribed over 16 times and retail subscription exceeding 30 times. The REIT began trading at S$0.98 per unit, representing an 11.4% premium over the IPO price, underlining robust investor confidence. The IPO raised approximately S$771 million, resulting in a market capitalisation exceeding S$1.5 billion, making it Singapore’s second-largest IPO of the year. The portfolio, valued at S$1.8 billion, comprises 14 purpose-built worker and student accommodation assets spread across Singapore, the UK, and Australia, with plans to increase to 15 assets by early 2026.</w:t>
      </w:r>
      <w:r/>
    </w:p>
    <w:p>
      <w:r/>
      <w:r>
        <w:t>Centurion Accommodation REIT distinguishes itself as the first and only living accommodation REIT listed in Singapore, offering investors exposure to high-occupancy, purpose-built workers’ accommodation (PBWA) and purpose-built student accommodation (PBSA) assets. Occupancy rates are impressively high, standing at 99.2% for PBWA and 98.2% for PBSA as of 2024, reflecting the essential nature of these accommodation types and skilled management. The portfolio is geographically diversified across supply-constrained and resilient markets, including Singapore’s tight PBWA landscape, and expanding student accommodation markets in the UK and Australia.</w:t>
      </w:r>
      <w:r/>
    </w:p>
    <w:p>
      <w:r/>
      <w:r>
        <w:t>The strategic support from Centurion Corporation and its experienced leadership—led by Tony Bin, the REIT manager’s CEO with over 30 years of industry experience—adds to CAREIT’s growth prospects. The REIT benefits from a right-of-first-refusal (ROFR) on Centurion’s pipeline of assets, enabling accretive acquisitions and pipeline expansion. CAR's leverage remains prudent at 20.9% at IPO, anticipated to rise to 31% following the acquisition of the Sydney PBSA asset, enhancing the portfolio’s asset base and projected net property income (NPI).</w:t>
      </w:r>
      <w:r/>
    </w:p>
    <w:p>
      <w:r/>
      <w:r>
        <w:t>Market fundamentals underpinning CAREIT’s potential are strong. Singapore’s PBWA market has grown robustly to S$3.7 billion in 2024, with a five-year compound annual growth rate (CAGR) of 13.1%, and is expected to maintain a near 10% CAGR through 2029. This growth is driven by ongoing demand for foreign worker accommodation in key sectors such as construction and marine, stronger quality regulations elevating supply standards, and supply constraints due to lease non-renewals and retrofitting requirements. Meanwhile, the UK and Australia’s student accommodation markets benefit from increasing international student populations, limited on-campus housing, and rising preferences for modern, managed living environments.</w:t>
      </w:r>
      <w:r/>
    </w:p>
    <w:p>
      <w:r/>
      <w:r>
        <w:t>The portfolio’s long weighted average lease expiry (WALE), exceeding 30 years on 84% of assets, provides income stability and mitigates the risks of lease renegotiations. This, coupled with robust occupancy and diversified geographies, offers investors a resilient income stream with growth potential. Forecast distribution yields are attractive, with UOB Kay Hian projecting 6.2% for 2026 and 7.2% for 2027. The firm initiated coverage with a buy recommendation and a target price of S$1.23, valuing the REIT using a dividend discount model with a required return of 8% and growth rate of 2.8%.</w:t>
      </w:r>
      <w:r/>
    </w:p>
    <w:p>
      <w:r/>
      <w:r>
        <w:t>CAREIT’s immediate growth drivers include the planned acquisition of the Epiisod Macquarie Park PBSA asset in Sydney, expected to close in early 2026, and expansion of the Westlite Mandai PBWA capacity by nearly 2,000 beds. These initiatives are forecast to boost NPI by over 11% year-on-year by 2026 and increase total portfolio value to more than S$2.1 billion, underscoring the REIT’s expanding scale.</w:t>
      </w:r>
      <w:r/>
    </w:p>
    <w:p>
      <w:r/>
      <w:r>
        <w:t>In summary, Centurion Accommodation REIT represents a compelling opportunity for investors seeking resilient, income-generating real estate with geographic diversification across essential worker and student accommodation sectors. Its strong sponsor backing, pipeline visibility, long lease tenures, and solid operational performance position it well for sustainable growth and income resilience amid evolving market dynamics.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NextInsight, </w:t>
      </w:r>
      <w:hyperlink r:id="rId10">
        <w:r>
          <w:rPr>
            <w:color w:val="0000EE"/>
            <w:u w:val="single"/>
          </w:rPr>
          <w:t>[2]</w:t>
        </w:r>
      </w:hyperlink>
      <w:r>
        <w:t xml:space="preserve"> Business Times, </w:t>
      </w:r>
      <w:hyperlink r:id="rId11">
        <w:r>
          <w:rPr>
            <w:color w:val="0000EE"/>
            <w:u w:val="single"/>
          </w:rPr>
          <w:t>[3]</w:t>
        </w:r>
      </w:hyperlink>
      <w:r>
        <w:t xml:space="preserve"> The Straits Times, </w:t>
      </w:r>
      <w:hyperlink r:id="rId12">
        <w:r>
          <w:rPr>
            <w:color w:val="0000EE"/>
            <w:u w:val="single"/>
          </w:rPr>
          <w:t>[4]</w:t>
        </w:r>
      </w:hyperlink>
      <w:r>
        <w:t xml:space="preserve"> The Straits Times, </w:t>
      </w:r>
      <w:hyperlink r:id="rId13">
        <w:r>
          <w:rPr>
            <w:color w:val="0000EE"/>
            <w:u w:val="single"/>
          </w:rPr>
          <w:t>[5]</w:t>
        </w:r>
      </w:hyperlink>
      <w:r>
        <w:t xml:space="preserve"> Reuters, </w:t>
      </w:r>
      <w:hyperlink r:id="rId14">
        <w:r>
          <w:rPr>
            <w:color w:val="0000EE"/>
            <w:u w:val="single"/>
          </w:rPr>
          <w:t>[6]</w:t>
        </w:r>
      </w:hyperlink>
      <w:r>
        <w:t xml:space="preserve"> REITsWeek </w:t>
      </w:r>
      <w:r/>
    </w:p>
    <w:p>
      <w:pPr>
        <w:pStyle w:val="ListBullet"/>
        <w:spacing w:line="240" w:lineRule="auto"/>
        <w:ind w:left="720"/>
      </w:pPr>
      <w:r/>
      <w:r>
        <w:t xml:space="preserve">Paragraph 2 – </w:t>
      </w:r>
      <w:hyperlink r:id="rId9">
        <w:r>
          <w:rPr>
            <w:color w:val="0000EE"/>
            <w:u w:val="single"/>
          </w:rPr>
          <w:t>[1]</w:t>
        </w:r>
      </w:hyperlink>
      <w:r>
        <w:t xml:space="preserve"> NextInsight, </w:t>
      </w:r>
      <w:hyperlink r:id="rId10">
        <w:r>
          <w:rPr>
            <w:color w:val="0000EE"/>
            <w:u w:val="single"/>
          </w:rPr>
          <w:t>[2]</w:t>
        </w:r>
      </w:hyperlink>
      <w:r>
        <w:t xml:space="preserve"> Business Times </w:t>
      </w:r>
      <w:r/>
    </w:p>
    <w:p>
      <w:pPr>
        <w:pStyle w:val="ListBullet"/>
        <w:spacing w:line="240" w:lineRule="auto"/>
        <w:ind w:left="720"/>
      </w:pPr>
      <w:r/>
      <w:r>
        <w:t xml:space="preserve">Paragraph 3 – </w:t>
      </w:r>
      <w:hyperlink r:id="rId9">
        <w:r>
          <w:rPr>
            <w:color w:val="0000EE"/>
            <w:u w:val="single"/>
          </w:rPr>
          <w:t>[1]</w:t>
        </w:r>
      </w:hyperlink>
      <w:r>
        <w:t xml:space="preserve"> NextInsight </w:t>
      </w:r>
      <w:r/>
    </w:p>
    <w:p>
      <w:pPr>
        <w:pStyle w:val="ListBullet"/>
        <w:spacing w:line="240" w:lineRule="auto"/>
        <w:ind w:left="720"/>
      </w:pPr>
      <w:r/>
      <w:r>
        <w:t xml:space="preserve">Paragraph 4 – </w:t>
      </w:r>
      <w:hyperlink r:id="rId9">
        <w:r>
          <w:rPr>
            <w:color w:val="0000EE"/>
            <w:u w:val="single"/>
          </w:rPr>
          <w:t>[1]</w:t>
        </w:r>
      </w:hyperlink>
      <w:r>
        <w:t xml:space="preserve"> NextInsight, </w:t>
      </w:r>
      <w:hyperlink r:id="rId10">
        <w:r>
          <w:rPr>
            <w:color w:val="0000EE"/>
            <w:u w:val="single"/>
          </w:rPr>
          <w:t>[2]</w:t>
        </w:r>
      </w:hyperlink>
      <w:r>
        <w:t xml:space="preserve"> Business Times, </w:t>
      </w:r>
      <w:hyperlink r:id="rId11">
        <w:r>
          <w:rPr>
            <w:color w:val="0000EE"/>
            <w:u w:val="single"/>
          </w:rPr>
          <w:t>[3]</w:t>
        </w:r>
      </w:hyperlink>
      <w:r>
        <w:t xml:space="preserve"> The Straits Times </w:t>
      </w:r>
      <w:r/>
    </w:p>
    <w:p>
      <w:pPr>
        <w:pStyle w:val="ListBullet"/>
        <w:spacing w:line="240" w:lineRule="auto"/>
        <w:ind w:left="720"/>
      </w:pPr>
      <w:r/>
      <w:r>
        <w:t xml:space="preserve">Paragraph 5 – </w:t>
      </w:r>
      <w:hyperlink r:id="rId9">
        <w:r>
          <w:rPr>
            <w:color w:val="0000EE"/>
            <w:u w:val="single"/>
          </w:rPr>
          <w:t>[1]</w:t>
        </w:r>
      </w:hyperlink>
      <w:r>
        <w:t xml:space="preserve"> NextInsight </w:t>
      </w:r>
      <w:r/>
    </w:p>
    <w:p>
      <w:pPr>
        <w:pStyle w:val="ListBullet"/>
        <w:spacing w:line="240" w:lineRule="auto"/>
        <w:ind w:left="720"/>
      </w:pPr>
      <w:r/>
      <w:r>
        <w:t xml:space="preserve">Paragraph 6 – </w:t>
      </w:r>
      <w:hyperlink r:id="rId9">
        <w:r>
          <w:rPr>
            <w:color w:val="0000EE"/>
            <w:u w:val="single"/>
          </w:rPr>
          <w:t>[1]</w:t>
        </w:r>
      </w:hyperlink>
      <w:r>
        <w:t xml:space="preserve"> NextInsight</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https://www.nextinsight.net/story-archive-mainmenu-60/948-2025/16419-after-centurion-reits-spinoff-success-why-analyst-sees-growth-and-resilience-ahead</w:t>
        </w:r>
      </w:hyperlink>
      <w:r>
        <w:t xml:space="preserve"> - Please view link - unable to able to access data</w:t>
      </w:r>
      <w:r/>
    </w:p>
    <w:p>
      <w:pPr>
        <w:pStyle w:val="ListNumber"/>
        <w:spacing w:line="240" w:lineRule="auto"/>
        <w:ind w:left="720"/>
      </w:pPr>
      <w:r/>
      <w:hyperlink r:id="rId10">
        <w:r>
          <w:rPr>
            <w:color w:val="0000EE"/>
            <w:u w:val="single"/>
          </w:rPr>
          <w:t>https://www.businesstimes.com.sg/companies-markets/centurion-accommodation-reit-aims-raise-s1-5-billion-through-ipo</w:t>
        </w:r>
      </w:hyperlink>
      <w:r>
        <w:t xml:space="preserve"> - Centurion Accommodation REIT, spun off from Centurion Corporation, launched its IPO on 11 September 2025, offering 262.2 million units at S$0.88 each, aiming to raise approximately S$1.5 billion. The portfolio comprises 14 assets valued at S$1.8 billion, including five purpose-built worker accommodation assets in Singapore, eight in the UK, and one in Australia. The REIT's initial portfolio boasts high occupancy rates of 96.9% for worker accommodations and 96.8% for student accommodations as of March 31, 2025. Proceeds are allocated for partial payment of the initial portfolio and related expenses. The REIT projects distribution yields of 7.47% for FY2026 and 8.11% for FY2027, with a leverage ratio of 20.9% at IPO, increasing to 31% post-acquisition of Epiisod Macquarie Park. Tony Bin, with over three decades of experience, will serve as CEO of the REIT manager. (</w:t>
      </w:r>
      <w:hyperlink r:id="rId16">
        <w:r>
          <w:rPr>
            <w:color w:val="0000EE"/>
            <w:u w:val="single"/>
          </w:rPr>
          <w:t>businesstimes.com.sg</w:t>
        </w:r>
      </w:hyperlink>
      <w:r>
        <w:t>)</w:t>
      </w:r>
      <w:r/>
    </w:p>
    <w:p>
      <w:pPr>
        <w:pStyle w:val="ListNumber"/>
        <w:spacing w:line="240" w:lineRule="auto"/>
        <w:ind w:left="720"/>
      </w:pPr>
      <w:r/>
      <w:hyperlink r:id="rId11">
        <w:r>
          <w:rPr>
            <w:color w:val="0000EE"/>
            <w:u w:val="single"/>
          </w:rPr>
          <w:t>https://www.straitstimes.com/business/centurion-accommodation-reit-launches-ipo-at-88-cents-each-aims-to-raise-771m</w:t>
        </w:r>
      </w:hyperlink>
      <w:r>
        <w:t xml:space="preserve"> - Centurion Accommodation REIT commenced its IPO on 18 September 2025, offering 262.2 million units at S$0.88 each, targeting a raise of approximately S$771 million. The REIT's initial portfolio includes 14 properties valued at S$1.8 billion, comprising five purpose-built worker accommodation assets in Singapore, eight in the UK, and one in Australia. The IPO was oversubscribed, with strong interest from both institutional and retail investors. The REIT is projected to have a market capitalisation exceeding S$1.5 billion upon listing. (</w:t>
      </w:r>
      <w:hyperlink r:id="rId17">
        <w:r>
          <w:rPr>
            <w:color w:val="0000EE"/>
            <w:u w:val="single"/>
          </w:rPr>
          <w:t>straitstimes.com</w:t>
        </w:r>
      </w:hyperlink>
      <w:r>
        <w:t>)</w:t>
      </w:r>
      <w:r/>
    </w:p>
    <w:p>
      <w:pPr>
        <w:pStyle w:val="ListNumber"/>
        <w:spacing w:line="240" w:lineRule="auto"/>
        <w:ind w:left="720"/>
      </w:pPr>
      <w:r/>
      <w:hyperlink r:id="rId12">
        <w:r>
          <w:rPr>
            <w:color w:val="0000EE"/>
            <w:u w:val="single"/>
          </w:rPr>
          <w:t>https://www.straitstimes.com/business/centurion-accommodation-reit-starts-trading-on-sgx-at-98-cents-per-unit-11-4-above-ipo-price</w:t>
        </w:r>
      </w:hyperlink>
      <w:r>
        <w:t xml:space="preserve"> - Centurion Accommodation REIT began trading on the Singapore Exchange on 25 September 2025, with units opening at S$0.98, 11.4% above the IPO price of S$0.88. The REIT's IPO was oversubscribed by 16.6 times, indicating strong investor confidence. The portfolio comprises 14 assets valued at S$1.8 billion, including purpose-built worker and student accommodation properties in Singapore, the UK, and Australia. The REIT is projected to have a market capitalisation exceeding S$1.5 billion upon listing. (</w:t>
      </w:r>
      <w:hyperlink r:id="rId18">
        <w:r>
          <w:rPr>
            <w:color w:val="0000EE"/>
            <w:u w:val="single"/>
          </w:rPr>
          <w:t>straitstimes.com</w:t>
        </w:r>
      </w:hyperlink>
      <w:r>
        <w:t>)</w:t>
      </w:r>
      <w:r/>
    </w:p>
    <w:p>
      <w:pPr>
        <w:pStyle w:val="ListNumber"/>
        <w:spacing w:line="240" w:lineRule="auto"/>
        <w:ind w:left="720"/>
      </w:pPr>
      <w:r/>
      <w:hyperlink r:id="rId13">
        <w:r>
          <w:rPr>
            <w:color w:val="0000EE"/>
            <w:u w:val="single"/>
          </w:rPr>
          <w:t>https://www.reuters.com/world/centurion-accommodation-reit-debuts-higher-after-singapores-second-biggest-ipo-2025-09-25/</w:t>
        </w:r>
      </w:hyperlink>
      <w:r>
        <w:t xml:space="preserve"> - Centurion Accommodation REIT made a strong debut on the Singapore Exchange on 25 September 2025, following a successful IPO that raised S$771.1 million. Units opened at S$0.98, 11.4% above the IPO price of S$0.88, marking Singapore's second-largest IPO of the year. The REIT's portfolio includes 14 assets valued at S$1.8 billion, comprising purpose-built worker and student accommodation properties in Singapore, the UK, and Australia. (</w:t>
      </w:r>
      <w:hyperlink r:id="rId19">
        <w:r>
          <w:rPr>
            <w:color w:val="0000EE"/>
            <w:u w:val="single"/>
          </w:rPr>
          <w:t>reuters.com</w:t>
        </w:r>
      </w:hyperlink>
      <w:r>
        <w:t>)</w:t>
      </w:r>
      <w:r/>
    </w:p>
    <w:p>
      <w:pPr>
        <w:pStyle w:val="ListNumber"/>
        <w:spacing w:line="240" w:lineRule="auto"/>
        <w:ind w:left="720"/>
      </w:pPr>
      <w:r/>
      <w:hyperlink r:id="rId14">
        <w:r>
          <w:rPr>
            <w:color w:val="0000EE"/>
            <w:u w:val="single"/>
          </w:rPr>
          <w:t>https://www.reitsweek.com/2025/09/centurion-accommodation-reit-launches-sgd771-1-million-ipo.html</w:t>
        </w:r>
      </w:hyperlink>
      <w:r>
        <w:t xml:space="preserve"> - Centurion Accommodation REIT launched its IPO on 18 September 2025, offering units at S$0.88 each, aiming to raise over S$771.1 million. The REIT's initial portfolio comprises 14 properties valued at approximately S$1.8 billion, including purpose-built worker and student accommodation assets in Singapore, the UK, and Australia. The REIT is projected to have a market capitalisation exceeding S$1.5 billion upon listing. (</w:t>
      </w:r>
      <w:hyperlink r:id="rId20">
        <w:r>
          <w:rPr>
            <w:color w:val="0000EE"/>
            <w:u w:val="single"/>
          </w:rPr>
          <w:t>reitsweek.com</w:t>
        </w:r>
      </w:hyperlink>
      <w:r>
        <w:t>)</w:t>
      </w:r>
      <w:r/>
    </w:p>
    <w:p>
      <w:pPr>
        <w:pStyle w:val="ListNumber"/>
        <w:spacing w:line="240" w:lineRule="auto"/>
        <w:ind w:left="720"/>
      </w:pPr>
      <w:r/>
      <w:hyperlink r:id="rId21">
        <w:r>
          <w:rPr>
            <w:color w:val="0000EE"/>
            <w:u w:val="single"/>
          </w:rPr>
          <w:t>https://links.sgx.com/1.0.0/corporate-announcements/IKDFJ1YYNMLT3JM6/859374_Press%20Release%20CAREIT%20Launches%20IPO_20250918.pdf</w:t>
        </w:r>
      </w:hyperlink>
      <w:r>
        <w:t xml:space="preserve"> - Centurion Asset Management Pte. Ltd., the manager of Centurion Accommodation REIT, announced the launch of the REIT's IPO on 18 September 2025. The offering comprises 262,160,900 units at S$0.88 per unit, aiming to raise over S$771.1 million. The REIT's initial portfolio includes 14 properties valued at approximately S$1.8 billion, comprising purpose-built worker and student accommodation assets in Singapore, the UK, and Australia. The REIT is projected to have a market capitalisation exceeding S$1.5 billion upon listing. (</w:t>
      </w:r>
      <w:hyperlink r:id="rId22">
        <w:r>
          <w:rPr>
            <w:color w:val="0000EE"/>
            <w:u w:val="single"/>
          </w:rPr>
          <w:t>links.sgx.com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xtinsight.net/story-archive-mainmenu-60/948-2025/16419-after-centurion-reits-spinoff-success-why-analyst-sees-growth-and-resilience-ahead" TargetMode="External"/><Relationship Id="rId10" Type="http://schemas.openxmlformats.org/officeDocument/2006/relationships/hyperlink" Target="https://www.businesstimes.com.sg/companies-markets/centurion-accommodation-reit-aims-raise-s1-5-billion-through-ipo" TargetMode="External"/><Relationship Id="rId11" Type="http://schemas.openxmlformats.org/officeDocument/2006/relationships/hyperlink" Target="https://www.straitstimes.com/business/centurion-accommodation-reit-launches-ipo-at-88-cents-each-aims-to-raise-771m" TargetMode="External"/><Relationship Id="rId12" Type="http://schemas.openxmlformats.org/officeDocument/2006/relationships/hyperlink" Target="https://www.straitstimes.com/business/centurion-accommodation-reit-starts-trading-on-sgx-at-98-cents-per-unit-11-4-above-ipo-price" TargetMode="External"/><Relationship Id="rId13" Type="http://schemas.openxmlformats.org/officeDocument/2006/relationships/hyperlink" Target="https://www.reuters.com/world/centurion-accommodation-reit-debuts-higher-after-singapores-second-biggest-ipo-2025-09-25/" TargetMode="External"/><Relationship Id="rId14" Type="http://schemas.openxmlformats.org/officeDocument/2006/relationships/hyperlink" Target="https://www.reitsweek.com/2025/09/centurion-accommodation-reit-launches-sgd771-1-million-ipo.html" TargetMode="External"/><Relationship Id="rId15" Type="http://schemas.openxmlformats.org/officeDocument/2006/relationships/hyperlink" Target="https://www.noahwire.com" TargetMode="External"/><Relationship Id="rId16" Type="http://schemas.openxmlformats.org/officeDocument/2006/relationships/hyperlink" Target="https://www.businesstimes.com.sg/companies-markets/centurion-accommodation-reit-aims-raise-s1-5-billion-through-ipo?utm_source=openai" TargetMode="External"/><Relationship Id="rId17" Type="http://schemas.openxmlformats.org/officeDocument/2006/relationships/hyperlink" Target="https://www.straitstimes.com/business/centurion-accommodation-reit-launches-ipo-at-88-cents-each-aims-to-raise-771m?utm_source=openai" TargetMode="External"/><Relationship Id="rId18" Type="http://schemas.openxmlformats.org/officeDocument/2006/relationships/hyperlink" Target="https://www.straitstimes.com/business/centurion-accommodation-reits-offer-of-262-million-units-oversubscribed-by-16-6-times?utm_source=openai" TargetMode="External"/><Relationship Id="rId19" Type="http://schemas.openxmlformats.org/officeDocument/2006/relationships/hyperlink" Target="https://www.reuters.com/world/centurion-accommodation-reit-debuts-higher-after-singapores-second-biggest-ipo-2025-09-25/?utm_source=openai" TargetMode="External"/><Relationship Id="rId20" Type="http://schemas.openxmlformats.org/officeDocument/2006/relationships/hyperlink" Target="https://www.reitsweek.com/2025/09/centurion-accommodation-reit-launches-sgd771-1-million-ipo.html?utm_source=openai" TargetMode="External"/><Relationship Id="rId21" Type="http://schemas.openxmlformats.org/officeDocument/2006/relationships/hyperlink" Target="https://links.sgx.com/1.0.0/corporate-announcements/IKDFJ1YYNMLT3JM6/859374_Press%20Release%20CAREIT%20Launches%20IPO_20250918.pdf" TargetMode="External"/><Relationship Id="rId22" Type="http://schemas.openxmlformats.org/officeDocument/2006/relationships/hyperlink" Target="https://links.sgx.com/1.0.0/corporate-announcements/IKDFJ1YYNMLT3JM6/859374_Press%20Release%20CAREIT%20Launches%20IPO_20250918.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