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FTSE 100 hits record high amid WPP's sharp decline and economic outlook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FTSE 100 extended its winning streak to nine consecutive sessions, closing at a record high of 9,760.06 despite investor woes surrounding advertising giant WPP. The company experienced a sharp plunge in its shares, which dropped 17%, following a warning that its year-to-date performance remained at the “low-end of expectations.” WPP’s third-quarter revenue revealed an 8.4% decline to £3.26 billion, with a 3.5% dip on a like-for-like basis. More strikingly, revenue less pass-through costs fell 11%, down 5.9% like-for-like, signalling significant pressures within the firm’s core operations.</w:t>
      </w:r>
      <w:r/>
    </w:p>
    <w:p>
      <w:r/>
      <w:r>
        <w:t>WPP's new chief executive, Cindy Rose, candidly described recent results as “unacceptable” while emphasising that “there is a lot to do.” She pledged to simplify operations and reinvigorate growth by focusing on data, artificial intelligence, and enterprise technology solutions aimed at clients’ expansion. The company downgraded its 2025 outlook, now projecting a 5.5–6.0% revenue decline less pass-through costs and a slightly compressed operating margin of around 13%. This announcement comes amid a grim 12 months for the firm, where its market capitalisation has plummeted from £24 billion in 2017 to just £3.9 billion recently. Despite securing $1.4 billion in new business during the third quarter from major clients including Estée Lauder and Unilever, WPP faces challenges rooted in declines across its North American and Chinese markets, as well as a pronounced drop in its ad planning and buying arm, WPP Media.</w:t>
      </w:r>
      <w:r/>
    </w:p>
    <w:p>
      <w:r/>
      <w:r>
        <w:t>Across European markets, the broader scene was quieter. Paris’ CAC 40 edged down by 0.5%, while Frankfurt’s DAX 40 remained largely flat. In the United States, equity markets were mixed, influenced notably by Meta Platforms’ shares tumbling nearly 10% following its announcement of increased investment and operating costs after a hefty tax provision in the third quarter. CEO Mark Zuckerberg defended the strategy, expressing confidence in aggressively front-loading capacity building to future-proof growth.</w:t>
      </w:r>
      <w:r/>
    </w:p>
    <w:p>
      <w:r/>
      <w:r>
        <w:t>Meanwhile, Federal Reserve chair Jerome Powell cast doubt on expectations of another interest rate cut in December, signalling a more cautious stance amid uncertain economic conditions. Powell underscored that the recent quarter-point rate cut to around 3.9% was part of a broader easing cycle but stressed that further cuts are “not a foregone conclusion.” Analysis from JPMorgan and Bank of America highlighted that Powell’s remarks were notably blunt and strident in pushing back against market bets on a December reduction. The Fed chair explained that the labour market challenges stem more from a shrinking labour supply—driven by tighter immigration policies, deportations, and demographic shifts—than from a faltering demand, limiting the effectiveness of traditional monetary easing.</w:t>
      </w:r>
      <w:r/>
    </w:p>
    <w:p>
      <w:r/>
      <w:r>
        <w:t>These comments mirror a broader theme articulated by the Federal Reserve during its October meeting, held under the cloud of a government shutdown which disrupted economic data flows. Inflation remains above the Fed’s 2% target, though signs of easing have appeared in sectors like rents and services. Concerns remain over corporate layoffs and a slight rise in unemployment to 4.3%, yet the Fed maintains that there is no broad labour market deterioration. The central bank has also indicated it will halt the reduction of its balance sheet holdings from December 1 in an effort to provide market support.</w:t>
      </w:r>
      <w:r/>
    </w:p>
    <w:p>
      <w:r/>
      <w:r>
        <w:t>Across the Atlantic, the Bank of Japan kept its interest rates steady at 0.5%, and the European Central Bank opted for a third straight hold on rates, maintaining the deposit facility rate at 2%, reflecting a broadly unchanged inflation outlook. Deutsche Bank’s Chief European Economist Mark Wall noted that despite external uncertainties, including US tariffs, Europe continues to exhibit economic resilience, which is tempering calls among ECB policymakers for rate cuts.</w:t>
      </w:r>
      <w:r/>
    </w:p>
    <w:p>
      <w:r/>
      <w:r>
        <w:t>Monetary policy shifts and central bank decisions have influenced currency movements, pushing the US dollar higher against major currencies. By Thursday’s close in London, the pound had fallen from 1.3236 to 1.3149 dollars, the euro slipped from 1.166 to 1.1565 dollars, and the dollar/yen exchange rate rose to 154.11 from 152.10. Treasury yields also climbed, reflecting market adjustments to Powell’s hawkish tone.</w:t>
      </w:r>
      <w:r/>
    </w:p>
    <w:p>
      <w:r/>
      <w:r>
        <w:t>Among UK equities, banking giant Standard Chartered rose 1.9% after forecasting it would meet its return on tangible equity targets by 2025, a year earlier than previously expected. Technology firm Computacenter jumped 5% on strong third-quarter performance, while energy stocks like Ithaca Energy and Harbour Energy gained following reports that the UK government might scrap its windfall tax on the oil and gas sector earlier than planned.</w:t>
      </w:r>
      <w:r/>
    </w:p>
    <w:p>
      <w:r/>
      <w:r>
        <w:t>On a more positive note for corporate activity, TT Electronics soared 59% after accepting a £287 million takeover bid from Switzerland’s Cicor Technologies, signaling ongoing consolidation trends within the technology manufacturing sector.</w:t>
      </w:r>
      <w:r/>
    </w:p>
    <w:p>
      <w:r/>
      <w:r>
        <w:t>As markets brace for data due Friday on Canadian GDP, Eurozone inflation, and US Chicago PMI, investor sentiment remains cautious amidst ongoing geopolitical and economic uncertainties. No significant UK corporate events are scheduled, allowing focus to remain on macroeconomic drivers shaping market directions in the short term.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 </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0">
        <w:r>
          <w:rPr>
            <w:color w:val="0000EE"/>
            <w:u w:val="single"/>
          </w:rPr>
          <w:t>[2]</w:t>
        </w:r>
      </w:hyperlink>
      <w:r>
        <w:t xml:space="preserve"> Reuters, </w:t>
      </w:r>
      <w:hyperlink r:id="rId11">
        <w:r>
          <w:rPr>
            <w:color w:val="0000EE"/>
            <w:u w:val="single"/>
          </w:rPr>
          <w:t>[5]</w:t>
        </w:r>
      </w:hyperlink>
      <w:r>
        <w:t xml:space="preserve"> WPP official release </w:t>
      </w:r>
      <w:r/>
    </w:p>
    <w:p>
      <w:pPr>
        <w:pStyle w:val="ListBullet"/>
        <w:spacing w:line="240" w:lineRule="auto"/>
        <w:ind w:left="720"/>
      </w:pPr>
      <w:r/>
      <w:r>
        <w:t xml:space="preserve">Paragraph 3 – </w:t>
      </w:r>
      <w:hyperlink r:id="rId9">
        <w:r>
          <w:rPr>
            <w:color w:val="0000EE"/>
            <w:u w:val="single"/>
          </w:rPr>
          <w:t>[1]</w:t>
        </w:r>
      </w:hyperlink>
      <w:r>
        <w:t xml:space="preserve"> The Independent, </w:t>
      </w:r>
      <w:hyperlink r:id="rId10">
        <w:r>
          <w:rPr>
            <w:color w:val="0000EE"/>
            <w:u w:val="single"/>
          </w:rPr>
          <w:t>[2]</w:t>
        </w:r>
      </w:hyperlink>
      <w:r>
        <w:t xml:space="preserve"> Reuters, </w:t>
      </w:r>
      <w:hyperlink r:id="rId11">
        <w:r>
          <w:rPr>
            <w:color w:val="0000EE"/>
            <w:u w:val="single"/>
          </w:rPr>
          <w:t>[5]</w:t>
        </w:r>
      </w:hyperlink>
      <w:r>
        <w:t xml:space="preserve"> WPP official release </w:t>
      </w:r>
      <w:r/>
    </w:p>
    <w:p>
      <w:pPr>
        <w:pStyle w:val="ListBullet"/>
        <w:spacing w:line="240" w:lineRule="auto"/>
        <w:ind w:left="720"/>
      </w:pPr>
      <w:r/>
      <w:r>
        <w:t xml:space="preserve">Paragraph 4 – </w:t>
      </w:r>
      <w:hyperlink r:id="rId9">
        <w:r>
          <w:rPr>
            <w:color w:val="0000EE"/>
            <w:u w:val="single"/>
          </w:rPr>
          <w:t>[1]</w:t>
        </w:r>
      </w:hyperlink>
      <w:r>
        <w:t xml:space="preserve"> The Independent, </w:t>
      </w:r>
      <w:hyperlink r:id="rId12">
        <w:r>
          <w:rPr>
            <w:color w:val="0000EE"/>
            <w:u w:val="single"/>
          </w:rPr>
          <w:t>[3]</w:t>
        </w:r>
      </w:hyperlink>
      <w:r>
        <w:t xml:space="preserve"> Reuters, </w:t>
      </w:r>
      <w:hyperlink r:id="rId13">
        <w:r>
          <w:rPr>
            <w:color w:val="0000EE"/>
            <w:u w:val="single"/>
          </w:rPr>
          <w:t>[4]</w:t>
        </w:r>
      </w:hyperlink>
      <w:r>
        <w:t xml:space="preserve"> AP News </w:t>
      </w:r>
      <w:r/>
    </w:p>
    <w:p>
      <w:pPr>
        <w:pStyle w:val="ListBullet"/>
        <w:spacing w:line="240" w:lineRule="auto"/>
        <w:ind w:left="720"/>
      </w:pPr>
      <w:r/>
      <w:r>
        <w:t xml:space="preserve">Paragraph 5 – </w:t>
      </w:r>
      <w:hyperlink r:id="rId9">
        <w:r>
          <w:rPr>
            <w:color w:val="0000EE"/>
            <w:u w:val="single"/>
          </w:rPr>
          <w:t>[1]</w:t>
        </w:r>
      </w:hyperlink>
      <w:r>
        <w:t xml:space="preserve"> The Independent, </w:t>
      </w:r>
      <w:hyperlink r:id="rId12">
        <w:r>
          <w:rPr>
            <w:color w:val="0000EE"/>
            <w:u w:val="single"/>
          </w:rPr>
          <w:t>[3]</w:t>
        </w:r>
      </w:hyperlink>
      <w:r>
        <w:t xml:space="preserve"> Reuters, </w:t>
      </w:r>
      <w:hyperlink r:id="rId13">
        <w:r>
          <w:rPr>
            <w:color w:val="0000EE"/>
            <w:u w:val="single"/>
          </w:rPr>
          <w:t>[4]</w:t>
        </w:r>
      </w:hyperlink>
      <w:r>
        <w:t xml:space="preserve"> AP News </w:t>
      </w:r>
      <w:r/>
    </w:p>
    <w:p>
      <w:pPr>
        <w:pStyle w:val="ListBullet"/>
        <w:spacing w:line="240" w:lineRule="auto"/>
        <w:ind w:left="720"/>
      </w:pPr>
      <w:r/>
      <w:r>
        <w:t xml:space="preserve">Paragraph 6 – </w:t>
      </w:r>
      <w:hyperlink r:id="rId9">
        <w:r>
          <w:rPr>
            <w:color w:val="0000EE"/>
            <w:u w:val="single"/>
          </w:rPr>
          <w:t>[1]</w:t>
        </w:r>
      </w:hyperlink>
      <w:r>
        <w:t xml:space="preserve"> The Independent, </w:t>
      </w:r>
      <w:hyperlink r:id="rId13">
        <w:r>
          <w:rPr>
            <w:color w:val="0000EE"/>
            <w:u w:val="single"/>
          </w:rPr>
          <w:t>[4]</w:t>
        </w:r>
      </w:hyperlink>
      <w:r>
        <w:t xml:space="preserve"> AP News, </w:t>
      </w:r>
      <w:hyperlink r:id="rId12">
        <w:r>
          <w:rPr>
            <w:color w:val="0000EE"/>
            <w:u w:val="single"/>
          </w:rPr>
          <w:t>[3]</w:t>
        </w:r>
      </w:hyperlink>
      <w:r>
        <w:t xml:space="preserve"> Reuters </w:t>
      </w:r>
      <w:r/>
    </w:p>
    <w:p>
      <w:pPr>
        <w:pStyle w:val="ListBullet"/>
        <w:spacing w:line="240" w:lineRule="auto"/>
        <w:ind w:left="720"/>
      </w:pPr>
      <w:r/>
      <w:r>
        <w:t xml:space="preserve">Paragraph 7 – </w:t>
      </w:r>
      <w:hyperlink r:id="rId9">
        <w:r>
          <w:rPr>
            <w:color w:val="0000EE"/>
            <w:u w:val="single"/>
          </w:rPr>
          <w:t>[1]</w:t>
        </w:r>
      </w:hyperlink>
      <w:r>
        <w:t xml:space="preserve"> The Independent, </w:t>
      </w:r>
      <w:hyperlink r:id="rId12">
        <w:r>
          <w:rPr>
            <w:color w:val="0000EE"/>
            <w:u w:val="single"/>
          </w:rPr>
          <w:t>[3]</w:t>
        </w:r>
      </w:hyperlink>
      <w:r>
        <w:t xml:space="preserve"> Reuters </w:t>
      </w:r>
      <w:r/>
    </w:p>
    <w:p>
      <w:pPr>
        <w:pStyle w:val="ListBullet"/>
        <w:spacing w:line="240" w:lineRule="auto"/>
        <w:ind w:left="720"/>
      </w:pPr>
      <w:r/>
      <w:r>
        <w:t xml:space="preserve">Paragraph 8 – </w:t>
      </w:r>
      <w:hyperlink r:id="rId9">
        <w:r>
          <w:rPr>
            <w:color w:val="0000EE"/>
            <w:u w:val="single"/>
          </w:rPr>
          <w:t>[1]</w:t>
        </w:r>
      </w:hyperlink>
      <w:r>
        <w:t xml:space="preserve"> The Independent </w:t>
      </w:r>
      <w:r/>
    </w:p>
    <w:p>
      <w:pPr>
        <w:pStyle w:val="ListBullet"/>
        <w:spacing w:line="240" w:lineRule="auto"/>
        <w:ind w:left="720"/>
      </w:pPr>
      <w:r/>
      <w:r>
        <w:t xml:space="preserve">Paragraph 9 – </w:t>
      </w:r>
      <w:hyperlink r:id="rId9">
        <w:r>
          <w:rPr>
            <w:color w:val="0000EE"/>
            <w:u w:val="single"/>
          </w:rPr>
          <w:t>[1]</w:t>
        </w:r>
      </w:hyperlink>
      <w:r>
        <w:t xml:space="preserve"> The Independent </w:t>
      </w:r>
      <w:r/>
    </w:p>
    <w:p>
      <w:pPr>
        <w:pStyle w:val="ListBullet"/>
        <w:spacing w:line="240" w:lineRule="auto"/>
        <w:ind w:left="720"/>
      </w:pPr>
      <w:r/>
      <w:r>
        <w:t xml:space="preserve">Paragraph 10 – </w:t>
      </w:r>
      <w:hyperlink r:id="rId9">
        <w:r>
          <w:rPr>
            <w:color w:val="0000EE"/>
            <w:u w:val="single"/>
          </w:rPr>
          <w:t>[1]</w:t>
        </w:r>
      </w:hyperlink>
      <w:r>
        <w:t xml:space="preserve"> The Independent</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https://www.independent.co.uk/news/business/wpp-jerome-powell-nasdaq-composite-aim-european-central-bank-b2855564.html</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https://www.reuters.com/business/retail-consumer/wpps-new-ceo-starts-with-profit-warning-uk-ad-group-2025-10-30/</w:t>
        </w:r>
      </w:hyperlink>
      <w:r>
        <w:t xml:space="preserve"> - WPP's new CEO, Cindy Rose, issued a profit warning, reporting a 5.9% decline in third-quarter net revenue. The downturn was attributed to a sharp decline in its core ad planning and buying unit, WPP Media. Rose acknowledged the company's underperformance and pledged decisive action, including simplifying operations and focusing on data, AI, and enterprise tech solutions to drive client growth. The company downgraded its 2025 revenue forecast, now expecting a 5.5–6.0% drop in revenue less pass-through costs and a slightly reduced operating margin of around 13%. WPP's market capitalization has dropped from £24 billion in 2017 to £3.9 billion as of Wednesday.</w:t>
      </w:r>
      <w:r/>
    </w:p>
    <w:p>
      <w:pPr>
        <w:pStyle w:val="ListNumber"/>
        <w:spacing w:line="240" w:lineRule="auto"/>
        <w:ind w:left="720"/>
      </w:pPr>
      <w:r/>
      <w:hyperlink r:id="rId12">
        <w:r>
          <w:rPr>
            <w:color w:val="0000EE"/>
            <w:u w:val="single"/>
          </w:rPr>
          <w:t>https://www.reuters.com/markets/us/cuts-dont-work-why-fed-may-pause-december-2025-10-30/</w:t>
        </w:r>
      </w:hyperlink>
      <w:r>
        <w:t xml:space="preserve"> - Federal Reserve Chair Jerome Powell signalled that a December interest rate cut is uncertain, suggesting that monetary policy may be near neutral after 150 basis points of easing. Powell emphasised that further cuts may not address the primary issue in the labour market, which is driven more by a shrinking labour supply—caused by tighter immigration, deportations, and demographic changes—than by weakening demand. He acknowledged that the Fed's tools are better suited to stimulating demand, which might have limited impact under current conditions. Despite recent job market slowdowns and a rise in unemployment to 4.3%, Powell indicated no broad labour market deterioration. Meanwhile, consumer spending and business investment remain strong, largely fuelled by asset gains benefiting wealthier Americans—creating a "K-shaped" economy marked by growing inequality. In this context, further cuts risk inflating asset prices without aiding struggling households. The ongoing government shutdown also complicates data visibility, making future policy decisions more uncertain. Thus, a third consecutive rate cut in December appears unlikely and potentially ineffective.</w:t>
      </w:r>
      <w:r/>
    </w:p>
    <w:p>
      <w:pPr>
        <w:pStyle w:val="ListNumber"/>
        <w:spacing w:line="240" w:lineRule="auto"/>
        <w:ind w:left="720"/>
      </w:pPr>
      <w:r/>
      <w:hyperlink r:id="rId13">
        <w:r>
          <w:rPr>
            <w:color w:val="0000EE"/>
            <w:u w:val="single"/>
          </w:rPr>
          <w:t>https://apnews.com/article/e689e1397856aa24ffebdaaefa9762a2</w:t>
        </w:r>
      </w:hyperlink>
      <w:r>
        <w:t xml:space="preserve"> - On October 28, 2025, the Federal Reserve cut its benchmark interest rate by a quarter point to approximately 3.9%, marking its second reduction this year in an effort to support economic growth and employment amid persistent inflation. However, Fed Chair Jerome Powell emphasised that more rate cuts are not guaranteed, highlighting divisions among Fed officials and the challenge of decision-making during the ongoing government shutdown, which has disrupted vital economic data reporting. Powell acknowledged growing uncertainty due to the limited data availability and signalled a cautious approach ahead of the December meeting. While inflation remains above the Fed’s 2% target, Powell noted signs of easing in certain sectors like rents and services. Meanwhile, recent large corporate layoffs and weakening hiring data have raised concerns about the labour market. Two Fed officials dissented from the rate decision, one favouring no change and the other advocating for a larger cut. Powell, whose term ends in May, continues to face criticism from former President Donald Trump, as the administration explores potential replacements. The Fed also announced it will stop reducing its securities holdings starting December 1 to provide additional market support.</w:t>
      </w:r>
      <w:r/>
    </w:p>
    <w:p>
      <w:pPr>
        <w:pStyle w:val="ListNumber"/>
        <w:spacing w:line="240" w:lineRule="auto"/>
        <w:ind w:left="720"/>
      </w:pPr>
      <w:r/>
      <w:hyperlink r:id="rId11">
        <w:r>
          <w:rPr>
            <w:color w:val="0000EE"/>
            <w:u w:val="single"/>
          </w:rPr>
          <w:t>https://www.wpp.com/en-us/news/2023/10/third-quarter-trading-update</w:t>
        </w:r>
      </w:hyperlink>
      <w:r>
        <w:t xml:space="preserve"> - WPP reported a 1.8% decline in third-quarter revenue, with like-for-like (LFL) revenue growth of 2.3%. The company now expects 2023 LFL growth of around 0.5-1.0%, with a margin of 14.8-15.0% at 2022 rates. The decline was attributed to weakness in North America, particularly among technology clients and in China. Despite this, WPP secured $1.4 billion in net new business in Q3, including clients such as Estée Lauder, Hyatt, Lenovo, Nestlé, Unilever, and Verizon. The company also launched VML, the world’s largest creative agency, to enhance its offer to clients and simplify operations. WPP intends to hold a Capital Markets Day in January 2024 to update investors and analysts on its strategic roadmap to drive growth, further efficiencies, and margin expansion over the next three to five years.</w:t>
      </w:r>
      <w:r/>
    </w:p>
    <w:p>
      <w:pPr>
        <w:pStyle w:val="ListNumber"/>
        <w:spacing w:line="240" w:lineRule="auto"/>
        <w:ind w:left="720"/>
      </w:pPr>
      <w:r/>
      <w:hyperlink r:id="rId15">
        <w:r>
          <w:rPr>
            <w:color w:val="0000EE"/>
            <w:u w:val="single"/>
          </w:rPr>
          <w:t>https://www.wpp.com/en-us/news/2024/10/third-quarter-trading-update-2024</w:t>
        </w:r>
      </w:hyperlink>
      <w:r>
        <w:t xml:space="preserve"> - WPP reported a 1.4% increase in third-quarter revenue, with like-for-like (LFL) revenue growth of 4.1%. The company now expects 2024 LFL growth of around 0.5-1.0%, with a margin of 14.8-15.0% at 2022 rates. The growth was driven by North America and Western Continental Europe, partially offset by a 2.2% decline in the Rest of the World, reflecting a continued decline in China. Global Integrated Agencies' LFL revenue less pass-through costs grew 0.5%, compared to 0.1% in Q3 2023. WPP secured important client wins and retentions during the quarter. The company reiterated its full-year guidance and remains focused on delivering margin progression.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wpp-jerome-powell-nasdaq-composite-aim-european-central-bank-b2855564.html" TargetMode="External"/><Relationship Id="rId10" Type="http://schemas.openxmlformats.org/officeDocument/2006/relationships/hyperlink" Target="https://www.reuters.com/business/retail-consumer/wpps-new-ceo-starts-with-profit-warning-uk-ad-group-2025-10-30/" TargetMode="External"/><Relationship Id="rId11" Type="http://schemas.openxmlformats.org/officeDocument/2006/relationships/hyperlink" Target="https://www.wpp.com/en-us/news/2023/10/third-quarter-trading-update" TargetMode="External"/><Relationship Id="rId12" Type="http://schemas.openxmlformats.org/officeDocument/2006/relationships/hyperlink" Target="https://www.reuters.com/markets/us/cuts-dont-work-why-fed-may-pause-december-2025-10-30/" TargetMode="External"/><Relationship Id="rId13" Type="http://schemas.openxmlformats.org/officeDocument/2006/relationships/hyperlink" Target="https://apnews.com/article/e689e1397856aa24ffebdaaefa9762a2" TargetMode="External"/><Relationship Id="rId14" Type="http://schemas.openxmlformats.org/officeDocument/2006/relationships/hyperlink" Target="https://www.noahwire.com" TargetMode="External"/><Relationship Id="rId15" Type="http://schemas.openxmlformats.org/officeDocument/2006/relationships/hyperlink" Target="https://www.wpp.com/en-us/news/2024/10/third-quarter-trading-update-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