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Britain's banks face pressure to reveal shadow banking risks amid emerging stability concerns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Britain’s major lenders, including HSBC and Barclays, are under increasing pressure to disclose the full extent of their loans to the so-called ‘shadow banking’ sector as concerns mount about the potential for financial instability reminiscent of the 2008 global crisis. Shadow banks, or non-bank financial institutions (NBFIs), operate outside traditional banking regulations and include entities such as private equity firms, hedge funds, insurers, and pension providers. Their opaque operations and rapid growth have alarmed regulators who fear that a shock in this part of the financial system could cascade into the wider economy.</w:t>
      </w:r>
      <w:r/>
    </w:p>
    <w:p>
      <w:r/>
      <w:r>
        <w:t>The Bank of England Governor, Andrew Bailey, has issued stark warnings that ‘alarm bells’ are ringing following the collapse earlier this year of two US firms, sub-prime vehicle finance provider Tricolor and car parts manufacturer First Brands. These collapses have been likened to early warning signs reminiscent of the 2008 crash. Speaking to the House of Lords’ Financial Services Regulation Committee, Bailey noted troubling parallels with the initial stages of the last global financial crisis. The Bank of England plans to undertake a comprehensive stress test across the financial system, including banks, insurers, private equity firms, and non-bank lenders. This exercise aims to explore vulnerabilities such as leverage, weak underwriting, opaque financial practices, and interconnected risks in private markets, with results expected by the end of 2025.</w:t>
      </w:r>
      <w:r/>
    </w:p>
    <w:p>
      <w:r/>
      <w:r>
        <w:t>Barclays, which has earmarked £110 million to cover losses from Tricolor loans, has total exposure to private debt—lending outside banks and public markets—of about £20 billion, predominantly in the US. However, Barclays has declined to fully specify its broader exposure to NBFIs, which encompass a wider range of shadow banking entities. HSBC reported its private credit exposure as ‘small’ but in the single-digit billions and declined to clarify its non-bank financial institution exposure outside the US, where it is publicly declared at £7.3 billion. This opacity has attracted criticism; JP Morgan’s banking analyst Sheel Shah highlighted that European banks’ disclosures around shadow bank exposures are far less transparent than their US counterparts, contributing to market unease.</w:t>
      </w:r>
      <w:r/>
    </w:p>
    <w:p>
      <w:r/>
      <w:r>
        <w:t>Shadow banks have become essential funding sources for businesses and consumers who have found major banks reluctant to engage in riskier lending since 2008. Yet, their lack of regulatory oversight and disclosure means investors, including fund managers and insurers, face the potential of significant losses without clear insight into underlying risks. The private debt market, a particularly risky form of shadow banking lending, has ballooned to an estimated £2.1 trillion by 2029 from £1.2 trillion last year, reflecting rapid growth coupled with increasingly complex financial innovations. Fitch Ratings has warned that this market’s growth exhibits ‘bubble-like attributes,’ with rising borrower leverage and heightened competition among lenders increasing systemic risk.</w:t>
      </w:r>
      <w:r/>
    </w:p>
    <w:p>
      <w:r/>
      <w:r>
        <w:t>The Bank of England’s focus on shadow banking is part of a broader effort to safeguard financial stability. A recent Financial Stability Report from the BoE identified vulnerabilities in the private equity sector due to rising financing costs, weak valuation transparency, and high leverage levels. Given that private equity-backed firms represent a substantial portion of the UK’s private sector economy—contributing to 5% of revenues and employing over two million workers—the potential fallout from instability within this sector could be economically significant. The BoE has called for proponents of shadow banks and their lenders to improve risk management and transparency to mitigate these risks effectively.</w:t>
      </w:r>
      <w:r/>
    </w:p>
    <w:p>
      <w:r/>
      <w:r>
        <w:t>The Bank of England is also moving to enhance its surveillance capabilities over the shadow banking system. Governor Bailey has emphasised at recent industry events the urgent need for regulators to transition from mere rule-making to more effective, continuous monitoring of non-bank financial activities. Although non-bank entities do not have an automatic right to central bank liquidity support, Bailey acknowledged there are critical scenarios where such interventions might become necessary to prevent systemic collapse. Improving transparency and requiring consistent disclosures across this sector are viewed as essential steps to pre-empt potential financial shocks.</w:t>
      </w:r>
      <w:r/>
    </w:p>
    <w:p>
      <w:r/>
      <w:r>
        <w:t>Additionally, the BoE has undertaken stress tests on other critical parts of the financial infrastructure, including central counterparties (CCPs), revealing some vulnerabilities but overall resilience under severe market stress. This multi-dimensional scrutiny reflects an institutional recognition that interconnectedness among traditional banks, shadow banks, and financial market infrastructures presents novel challenges to financial stability that require vigilant regulatory oversight.</w:t>
      </w:r>
      <w:r/>
    </w:p>
    <w:p>
      <w:r/>
      <w:r>
        <w:t>In summary, Britain’s largest banks face growing demands to clarify their shadow banking exposures amid concerns that this opaque, rapidly expanding sector could be the source of the next financial crisis. The Bank of England is advancing a series of stress tests and regulatory reforms aimed at enhancing transparency and stability, seeking to avert repetition of the regulatory blind spots that contributed to the 2008 meltdown. However, with the shadow banking sector accounting for an increasing share of UK business funding and incorporating complex instruments and players, the path ahead involves significant challenges for regulators, lenders, and investors alike.</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Daily Mail, </w:t>
      </w:r>
      <w:hyperlink r:id="rId10">
        <w:r>
          <w:rPr>
            <w:color w:val="0000EE"/>
            <w:u w:val="single"/>
          </w:rPr>
          <w:t>[5]</w:t>
        </w:r>
      </w:hyperlink>
      <w:r>
        <w:t xml:space="preserve"> Reuters </w:t>
      </w:r>
      <w:r/>
    </w:p>
    <w:p>
      <w:pPr>
        <w:pStyle w:val="ListBullet"/>
        <w:spacing w:line="240" w:lineRule="auto"/>
        <w:ind w:left="720"/>
      </w:pPr>
      <w:r/>
      <w:r>
        <w:t xml:space="preserve">Paragraph 2 – </w:t>
      </w:r>
      <w:hyperlink r:id="rId11">
        <w:r>
          <w:rPr>
            <w:color w:val="0000EE"/>
            <w:u w:val="single"/>
          </w:rPr>
          <w:t>[2]</w:t>
        </w:r>
      </w:hyperlink>
      <w:r>
        <w:t xml:space="preserve"> Reuters </w:t>
      </w:r>
      <w:r/>
    </w:p>
    <w:p>
      <w:pPr>
        <w:pStyle w:val="ListBullet"/>
        <w:spacing w:line="240" w:lineRule="auto"/>
        <w:ind w:left="720"/>
      </w:pPr>
      <w:r/>
      <w:r>
        <w:t xml:space="preserve">Paragraph 3 – </w:t>
      </w:r>
      <w:hyperlink r:id="rId9">
        <w:r>
          <w:rPr>
            <w:color w:val="0000EE"/>
            <w:u w:val="single"/>
          </w:rPr>
          <w:t>[1]</w:t>
        </w:r>
      </w:hyperlink>
      <w:r>
        <w:t xml:space="preserve"> Daily Mail, </w:t>
      </w:r>
      <w:hyperlink r:id="rId11">
        <w:r>
          <w:rPr>
            <w:color w:val="0000EE"/>
            <w:u w:val="single"/>
          </w:rPr>
          <w:t>[2]</w:t>
        </w:r>
      </w:hyperlink>
      <w:r>
        <w:t xml:space="preserve"> Reuters </w:t>
      </w:r>
      <w:r/>
    </w:p>
    <w:p>
      <w:pPr>
        <w:pStyle w:val="ListBullet"/>
        <w:spacing w:line="240" w:lineRule="auto"/>
        <w:ind w:left="720"/>
      </w:pPr>
      <w:r/>
      <w:r>
        <w:t xml:space="preserve">Paragraph 4 – </w:t>
      </w:r>
      <w:hyperlink r:id="rId9">
        <w:r>
          <w:rPr>
            <w:color w:val="0000EE"/>
            <w:u w:val="single"/>
          </w:rPr>
          <w:t>[1]</w:t>
        </w:r>
      </w:hyperlink>
      <w:r>
        <w:t xml:space="preserve"> Daily Mail, </w:t>
      </w:r>
      <w:hyperlink r:id="rId10">
        <w:r>
          <w:rPr>
            <w:color w:val="0000EE"/>
            <w:u w:val="single"/>
          </w:rPr>
          <w:t>[5]</w:t>
        </w:r>
      </w:hyperlink>
      <w:r>
        <w:t xml:space="preserve"> Reuters </w:t>
      </w:r>
      <w:r/>
    </w:p>
    <w:p>
      <w:pPr>
        <w:pStyle w:val="ListBullet"/>
        <w:spacing w:line="240" w:lineRule="auto"/>
        <w:ind w:left="720"/>
      </w:pPr>
      <w:r/>
      <w:r>
        <w:t xml:space="preserve">Paragraph 5 – </w:t>
      </w:r>
      <w:hyperlink r:id="rId12">
        <w:r>
          <w:rPr>
            <w:color w:val="0000EE"/>
            <w:u w:val="single"/>
          </w:rPr>
          <w:t>[4]</w:t>
        </w:r>
      </w:hyperlink>
      <w:r>
        <w:t xml:space="preserve"> Reuters </w:t>
      </w:r>
      <w:r/>
    </w:p>
    <w:p>
      <w:pPr>
        <w:pStyle w:val="ListBullet"/>
        <w:spacing w:line="240" w:lineRule="auto"/>
        <w:ind w:left="720"/>
      </w:pPr>
      <w:r/>
      <w:r>
        <w:t xml:space="preserve">Paragraph 6 – </w:t>
      </w:r>
      <w:hyperlink r:id="rId13">
        <w:r>
          <w:rPr>
            <w:color w:val="0000EE"/>
            <w:u w:val="single"/>
          </w:rPr>
          <w:t>[6]</w:t>
        </w:r>
      </w:hyperlink>
      <w:r>
        <w:t xml:space="preserve"> Reuters </w:t>
      </w:r>
      <w:r/>
    </w:p>
    <w:p>
      <w:pPr>
        <w:pStyle w:val="ListBullet"/>
        <w:spacing w:line="240" w:lineRule="auto"/>
        <w:ind w:left="720"/>
      </w:pPr>
      <w:r/>
      <w:r>
        <w:t xml:space="preserve">Paragraph 7 – </w:t>
      </w:r>
      <w:hyperlink r:id="rId14">
        <w:r>
          <w:rPr>
            <w:color w:val="0000EE"/>
            <w:u w:val="single"/>
          </w:rPr>
          <w:t>[7]</w:t>
        </w:r>
      </w:hyperlink>
      <w:r>
        <w:t xml:space="preserve"> Reuters </w:t>
      </w:r>
      <w:r/>
    </w:p>
    <w:p>
      <w:pPr>
        <w:pStyle w:val="ListBullet"/>
        <w:spacing w:line="240" w:lineRule="auto"/>
        <w:ind w:left="720"/>
      </w:pPr>
      <w:r/>
      <w:r>
        <w:t xml:space="preserve">Paragraph 8 – </w:t>
      </w:r>
      <w:hyperlink r:id="rId9">
        <w:r>
          <w:rPr>
            <w:color w:val="0000EE"/>
            <w:u w:val="single"/>
          </w:rPr>
          <w:t>[1]</w:t>
        </w:r>
      </w:hyperlink>
      <w:r>
        <w:t xml:space="preserve"> Daily Mail, </w:t>
      </w:r>
      <w:hyperlink r:id="rId11">
        <w:r>
          <w:rPr>
            <w:color w:val="0000EE"/>
            <w:u w:val="single"/>
          </w:rPr>
          <w:t>[2]</w:t>
        </w:r>
      </w:hyperlink>
      <w:r>
        <w:t xml:space="preserve"> Reuters, </w:t>
      </w:r>
      <w:hyperlink r:id="rId10">
        <w:r>
          <w:rPr>
            <w:color w:val="0000EE"/>
            <w:u w:val="single"/>
          </w:rPr>
          <w:t>[5]</w:t>
        </w:r>
      </w:hyperlink>
      <w:r>
        <w:t xml:space="preserve"> Reuters</w:t>
      </w:r>
      <w:r/>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https://www.dailymail.co.uk/money/markets/article-15248487/Lenders-urged-come-clean-loans-called-shadow-banks.html?ns_mchannel=rss&amp;ns_campaign=1490&amp;ito=1490</w:t>
        </w:r>
      </w:hyperlink>
      <w:r>
        <w:t xml:space="preserve"> - Please view link - unable to able to access data</w:t>
      </w:r>
      <w:r/>
    </w:p>
    <w:p>
      <w:pPr>
        <w:pStyle w:val="ListNumber"/>
        <w:spacing w:line="240" w:lineRule="auto"/>
        <w:ind w:left="720"/>
      </w:pPr>
      <w:r/>
      <w:hyperlink r:id="rId11">
        <w:r>
          <w:rPr>
            <w:color w:val="0000EE"/>
            <w:u w:val="single"/>
          </w:rPr>
          <w:t>https://www.reuters.com/sustainability/boards-policy-regulation/bank-englands-bailey-says-first-brands-tricolor-collapses-may-be-warning-worse-2025-10-21/</w:t>
        </w:r>
      </w:hyperlink>
      <w:r>
        <w:t xml:space="preserve"> - Bank of England Governor Andrew Bailey has warned that the recent collapses of U.S. companies First Brands and Tricolor may signal deeper systemic financial risks. Speaking to the House of Lords' Financial Services Regulation Committee, Bailey said the events share troubling parallels with the early stages of the 2008 global financial crisis. To investigate, the Bank of England (BoE) plans to conduct a comprehensive 'system-wide exploratory scenario' stress test involving banks, insurers, private equity firms, and non-bank lenders. BoE Deputy Governor Sarah Breeden mentioned that a detailed announcement would be made by year's end, with the exercise expected to be completed within nine to twelve months. The analysis will explore vulnerabilities such as leverage, opaque practices, weak underwriting standards, and interconnected risk exposure, particularly within private markets. These issues are highlighted by recent U.S. bank share declines tied to exposure from the bankruptcies. The House of Lords committee is examining the rise of private markets since the 2008 crisis, including governance concerns like conflicts of interest between private finance firms and life insurers.</w:t>
      </w:r>
      <w:r/>
    </w:p>
    <w:p>
      <w:pPr>
        <w:pStyle w:val="ListNumber"/>
        <w:spacing w:line="240" w:lineRule="auto"/>
        <w:ind w:left="720"/>
      </w:pPr>
      <w:r/>
      <w:hyperlink r:id="rId16">
        <w:r>
          <w:rPr>
            <w:color w:val="0000EE"/>
            <w:u w:val="single"/>
          </w:rPr>
          <w:t>https://www.reuters.com/world/uk/bank-england-launches-2025-bank-capital-stress-test-2025-03-24/</w:t>
        </w:r>
      </w:hyperlink>
      <w:r>
        <w:t xml:space="preserve"> - The Bank of England initiated its 2025 bank capital stress test for the UK's seven largest and most systemic banks and building societies. The test evaluates if these financial institutions possess sufficient capital to endure hypothetical economic shocks, including deep recessions, asset price declines, higher global interest rates, and misconduct costs. Barclays, HSBC, Lloyds Banking Group, Nationwide, NatWest Group, Santander UK, and Standard Chartered, which account for 75% of lending to the real economy, will participate in the test. The outcomes will be released in the fourth quarter of the year.</w:t>
      </w:r>
      <w:r/>
    </w:p>
    <w:p>
      <w:pPr>
        <w:pStyle w:val="ListNumber"/>
        <w:spacing w:line="240" w:lineRule="auto"/>
        <w:ind w:left="720"/>
      </w:pPr>
      <w:r/>
      <w:hyperlink r:id="rId12">
        <w:r>
          <w:rPr>
            <w:color w:val="0000EE"/>
            <w:u w:val="single"/>
          </w:rPr>
          <w:t>https://www.reuters.com/business/finance/bank-england-highlights-private-equity-vulnerabilities-2024-06-27/</w:t>
        </w:r>
      </w:hyperlink>
      <w:r>
        <w:t xml:space="preserve"> - The Bank of England (BoE) has identified significant vulnerabilities in the private equity sector, particularly in light of rising financing costs as low interest rates end. The BoE's Financial Stability Report highlights the need for improved risk management practices, transparency over valuation practices, and better handling of leverage within the sector. Private equity-backed firms make up a significant portion of the UK's private sector, representing 5% of revenues and 10% of employment (over 2 million jobs). The BoE suggests that lenders to this sector, including banks, need to enhance their risk management. Additionally, the BoE examined UK bank stock market valuations and found them to be aligned with euro zone peers but lagging behind U.S. counterparts due to broader economic factors. The BoE plans a 'desk-based' stress test of major UK banks, with results expected in the fourth quarter and aims to support households and businesses even in adverse conditions. Lastly, initial findings from a system-wide test on market liquidity needs in government bonds following the market turbulence of September 2022 were also reviewed. The results will inform future regulatory measures.</w:t>
      </w:r>
      <w:r/>
    </w:p>
    <w:p>
      <w:pPr>
        <w:pStyle w:val="ListNumber"/>
        <w:spacing w:line="240" w:lineRule="auto"/>
        <w:ind w:left="720"/>
      </w:pPr>
      <w:r/>
      <w:hyperlink r:id="rId10">
        <w:r>
          <w:rPr>
            <w:color w:val="0000EE"/>
            <w:u w:val="single"/>
          </w:rPr>
          <w:t>https://www.reuters.com/business/finance/more-reforms-needed-tackle-shadow-bankings-hidden-leverage-boe-regulator-says-2024-07-18/</w:t>
        </w:r>
      </w:hyperlink>
      <w:r>
        <w:t xml:space="preserve"> - A Bank of England regulator has highlighted the need for additional reforms to address excessive leverage within the shadow banking sector, which includes non-bank financial institutions (NBFIs) like hedge funds and private credit providers. NBFIs accounted for nearly half of the world's financial assets in 2022. The growing sector now supplies half of UK businesses' funding directly from financial markets and non-banks, raising concerns about financial stability due to its lack of transparency. Nathanaël Benjamin, the BoE's executive director for financial stability, emphasized the risks of concentrated funding positions in core markets, particularly when used in common strategies across non-banks. Enhancing transparency and disclosure by NBFIs can help identify and mitigate these risks. The G20 financial watchdog will soon reveal findings from a data collection initiative on NBFIs. The increased utilization of collateral in the financial system presents both advantages and challenges, as seen in past market stress episodes like the impact of Russia's invasion of Ukraine on gas prices and the 2022 near collapse of the UK's liability-driven investment industry.</w:t>
      </w:r>
      <w:r/>
    </w:p>
    <w:p>
      <w:pPr>
        <w:pStyle w:val="ListNumber"/>
        <w:spacing w:line="240" w:lineRule="auto"/>
        <w:ind w:left="720"/>
      </w:pPr>
      <w:r/>
      <w:hyperlink r:id="rId13">
        <w:r>
          <w:rPr>
            <w:color w:val="0000EE"/>
            <w:u w:val="single"/>
          </w:rPr>
          <w:t>https://www.reuters.com/world/uk/boes-bailey-says-tools-need-improve-surveil-non-banks-2024-10-22/</w:t>
        </w:r>
      </w:hyperlink>
      <w:r>
        <w:t xml:space="preserve"> - Bank of England Governor, Andrew Bailey, emphasized the need for enhanced surveillance tools to monitor the non-banking sector, which remains less transparent compared to traditional banking systems. Speaking at a Bloomberg event in New York, Bailey highlighted the necessity for regulators to transition from rule-making to effective monitoring of financial activities within the non-bank system. He also pointed out that while non-banks do not have an automatic right to central bank liquidity, there are critical instances when provision of such liquidity becomes essential on a systematic basis. The significance of non-banks in global finance has increased, raising concerns among financial regulators about potential risks and excessive leverage. The BoE estimates that half of UK firms’ funding now comes from financial markets and non-bank financial institutions. In conclusion, Bailey stressed the urgent need for new surveillance tools to identify risks within the non-bank sector.</w:t>
      </w:r>
      <w:r/>
    </w:p>
    <w:p>
      <w:pPr>
        <w:pStyle w:val="ListNumber"/>
        <w:spacing w:line="240" w:lineRule="auto"/>
        <w:ind w:left="720"/>
      </w:pPr>
      <w:r/>
      <w:hyperlink r:id="rId14">
        <w:r>
          <w:rPr>
            <w:color w:val="0000EE"/>
            <w:u w:val="single"/>
          </w:rPr>
          <w:t>https://www.reuters.com/business/finance/bank-england-finds-some-vulnerabilities-probe-central-counterparties-2024-11-29/</w:t>
        </w:r>
      </w:hyperlink>
      <w:r>
        <w:t xml:space="preserve"> - The Bank of England (BoE) conducted a stress test on central counterparties (CCPs), crucial entities in the financial market infrastructure, revealing some vulnerabilities but generally demonstrating resilience. The test evaluated the credit resilience of ICE Clear Europe, LCH, and LME Clear against a severe market stress scenario and the potential default of two major CCPs. Findings showed that while generally robust, some CCPs had reduced financial resources compared to a previous 2022 test following market turmoil. Specific vulnerabilities were identified in LME Base, necessitating further resources in the event of defaults by members with large positions. The BoE will continue supervising CCPs, with ongoing data collection and separate assessments of liquidity and broader impacts. The bank has already initiated consultations for new post-Brexit regulations for these entities.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dailymail.co.uk/money/markets/article-15248487/Lenders-urged-come-clean-loans-called-shadow-banks.html?ns_mchannel=rss&amp;ns_campaign=1490&amp;ito=1490" TargetMode="External"/><Relationship Id="rId10" Type="http://schemas.openxmlformats.org/officeDocument/2006/relationships/hyperlink" Target="https://www.reuters.com/business/finance/more-reforms-needed-tackle-shadow-bankings-hidden-leverage-boe-regulator-says-2024-07-18/" TargetMode="External"/><Relationship Id="rId11" Type="http://schemas.openxmlformats.org/officeDocument/2006/relationships/hyperlink" Target="https://www.reuters.com/sustainability/boards-policy-regulation/bank-englands-bailey-says-first-brands-tricolor-collapses-may-be-warning-worse-2025-10-21/" TargetMode="External"/><Relationship Id="rId12" Type="http://schemas.openxmlformats.org/officeDocument/2006/relationships/hyperlink" Target="https://www.reuters.com/business/finance/bank-england-highlights-private-equity-vulnerabilities-2024-06-27/" TargetMode="External"/><Relationship Id="rId13" Type="http://schemas.openxmlformats.org/officeDocument/2006/relationships/hyperlink" Target="https://www.reuters.com/world/uk/boes-bailey-says-tools-need-improve-surveil-non-banks-2024-10-22/" TargetMode="External"/><Relationship Id="rId14" Type="http://schemas.openxmlformats.org/officeDocument/2006/relationships/hyperlink" Target="https://www.reuters.com/business/finance/bank-england-finds-some-vulnerabilities-probe-central-counterparties-2024-11-29/" TargetMode="External"/><Relationship Id="rId15" Type="http://schemas.openxmlformats.org/officeDocument/2006/relationships/hyperlink" Target="https://www.noahwire.com" TargetMode="External"/><Relationship Id="rId16" Type="http://schemas.openxmlformats.org/officeDocument/2006/relationships/hyperlink" Target="https://www.reuters.com/world/uk/bank-england-launches-2025-bank-capital-stress-test-2025-03-24/"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