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brokerages highlight Indian stocks with robust growth prospects in November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Leading global brokerages including Jefferies, Citi, Goldman Sachs, JP Morgan, and UBS have unveiled their top stock picks for November, highlighting a diverse range of sectors such as pharmaceuticals, infrastructure, FMCG, banking, and real estate. These selections are underpinned by strong earnings visibility and improving margins, with analysts forecasting robust double-digit growth extending through fiscal years 2026 and 2027.</w:t>
      </w:r>
      <w:r/>
    </w:p>
    <w:p>
      <w:r/>
      <w:r>
        <w:t>Among the standout picks, pharmaceutical giant Cipla carries a target price of ₹1,800 as per Citi, driven by a strong outlook in non-US markets and a recovery in Indian sales that is expected to expand margins. FMCG heavyweight ITC is also favoured by Jefferies, which has set a target of ₹535, up from its current ₹419, buoyed by 6% growth in cigarette volumes and a 7% expansion in FMCG segments. Similarly, Swiggy has attracted attention from UBS, with a target price of ₹580 following impressive Q2 results and promising growth prospects in its quick commerce segment through Instamart.</w:t>
      </w:r>
      <w:r/>
    </w:p>
    <w:p>
      <w:r/>
      <w:r>
        <w:t>The infrastructure and real estate sectors see strong representation with Jefferies highlighting DLF and Macrotech (Lodha). DLF’s upbeat Mumbai and Delhi sales, which led to pre-sales surging to ₹43 billion, provide a bullish case, setting a target of ₹1,000 against a current price of ₹757. Macrotech’s 86% year-on-year jump in profits alongside a solid Q3 pipeline supports Jefferies’ target of ₹1,625, up from the current ₹1,197. In the engineering space, Citi's recommendation of Larsen &amp; Toubro (L&amp;T) with a target of ₹4,500 is backed by a 54% year-on-year order inflow growth and a strong Middle East project pipeline.</w:t>
      </w:r>
      <w:r/>
    </w:p>
    <w:p>
      <w:r/>
      <w:r>
        <w:t>Financial services stocks such as Kotak Mahindra Bank and SBI Life feature prominently, with Bank of America highlighting Kotak’s healthy Q2 profit of ₹3,300 crore and 16% loan growth year-on-year, leading to a target price of ₹2,700. SBI Life benefits from rising Value of New Business (VNB) margins and strong segmental growth, with Citi assigning a ₹2,550 target. Insurance player Go Digit Insurance has seen Jefferies raise its target to ₹440 following improved profitability and underwriting metrics.</w:t>
      </w:r>
      <w:r/>
    </w:p>
    <w:p>
      <w:r/>
      <w:r>
        <w:t>Other notable recommendations include Goldman Sachs backing Pidilite Industries with a target of ₹1,700 on sustained adhesive volume growth, and Varun Beverages targeted at ₹615 based on strong domestic recovery and expansion in Africa via its Carlsberg partnership. In pharmaceuticals, Bank of America sees potential in Dr. Reddy’s with a ₹1,600 target, awaiting the Sema product launch in Canada by early FY27. On the technology side, JP Morgan has set its sight on Coforge, targeting ₹2,500, supported by strong Q2 margins and a growing deal pipeline.</w:t>
      </w:r>
      <w:r/>
    </w:p>
    <w:p>
      <w:r/>
      <w:r>
        <w:t>In the broader financial advisory landscape, JP Morgan and UBS have led in mergers and acquisitions within the retail sector during the first three quarters of 2025. JP Morgan advised on deals valued at $44.5 billion, while UBS ranked highest in deal volume, reinforcing their influential roles in steering significant market transactions. Globally, firms like Jefferies have also demonstrated leadership in high-value M&amp;A activity, notably in regions such as South and Central America where it advised on $9 billion worth of deals in the first half of the year.</w:t>
      </w:r>
      <w:r/>
    </w:p>
    <w:p>
      <w:r/>
      <w:r>
        <w:t>In terms of equity performance, UBS has recently raised its price target for JPMorgan shares to $287, pointing to a robust Return on Tangible Common Equity (ROTCE) forecast of 19% in 2025 and 18% in 2026, which exceeds the bank’s internal target of around 17%. Meanwhile, Goldman Sachs continues to endorse Jefferies Financial Group with a maintained 'Buy' rating and an average one-year price target implying a potential upside of over 40% from current levels.</w:t>
      </w:r>
      <w:r/>
    </w:p>
    <w:p>
      <w:r/>
      <w:r>
        <w:t>These brokerages collectively see their November stock picks as well-positioned to leverage India’s macroeconomic resilience, sector-specific tailwinds, and favourable earnings momentum, underscoring a broadly optimistic market outlook as investors navigate the coming quarters.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(Business Today), </w:t>
      </w:r>
      <w:hyperlink r:id="rId9">
        <w:r>
          <w:rPr>
            <w:color w:val="0000EE"/>
            <w:u w:val="single"/>
          </w:rPr>
          <w:t>[2]</w:t>
        </w:r>
      </w:hyperlink>
      <w:r>
        <w:t xml:space="preserve"> (Business Today) </w:t>
      </w:r>
      <w:r/>
    </w:p>
    <w:p>
      <w:pPr>
        <w:pStyle w:val="ListBullet"/>
        <w:spacing w:line="240" w:lineRule="auto"/>
        <w:ind w:left="720"/>
      </w:pPr>
      <w:r/>
      <w:r>
        <w:t xml:space="preserve">Paragraph 2 – </w:t>
      </w:r>
      <w:hyperlink r:id="rId9">
        <w:r>
          <w:rPr>
            <w:color w:val="0000EE"/>
            <w:u w:val="single"/>
          </w:rPr>
          <w:t>[1]</w:t>
        </w:r>
      </w:hyperlink>
      <w:r>
        <w:t xml:space="preserve"> (Business Today) </w:t>
      </w:r>
      <w:r/>
    </w:p>
    <w:p>
      <w:pPr>
        <w:pStyle w:val="ListBullet"/>
        <w:spacing w:line="240" w:lineRule="auto"/>
        <w:ind w:left="720"/>
      </w:pPr>
      <w:r/>
      <w:r>
        <w:t xml:space="preserve">Paragraph 3 – </w:t>
      </w:r>
      <w:hyperlink r:id="rId9">
        <w:r>
          <w:rPr>
            <w:color w:val="0000EE"/>
            <w:u w:val="single"/>
          </w:rPr>
          <w:t>[1]</w:t>
        </w:r>
      </w:hyperlink>
      <w:r>
        <w:t xml:space="preserve"> (Business Today) </w:t>
      </w:r>
      <w:r/>
    </w:p>
    <w:p>
      <w:pPr>
        <w:pStyle w:val="ListBullet"/>
        <w:spacing w:line="240" w:lineRule="auto"/>
        <w:ind w:left="720"/>
      </w:pPr>
      <w:r/>
      <w:r>
        <w:t xml:space="preserve">Paragraph 4 – </w:t>
      </w:r>
      <w:hyperlink r:id="rId9">
        <w:r>
          <w:rPr>
            <w:color w:val="0000EE"/>
            <w:u w:val="single"/>
          </w:rPr>
          <w:t>[1]</w:t>
        </w:r>
      </w:hyperlink>
      <w:r>
        <w:t xml:space="preserve"> (Business Today) </w:t>
      </w:r>
      <w:r/>
    </w:p>
    <w:p>
      <w:pPr>
        <w:pStyle w:val="ListBullet"/>
        <w:spacing w:line="240" w:lineRule="auto"/>
        <w:ind w:left="720"/>
      </w:pPr>
      <w:r/>
      <w:r>
        <w:t xml:space="preserve">Paragraph 5 – </w:t>
      </w:r>
      <w:hyperlink r:id="rId9">
        <w:r>
          <w:rPr>
            <w:color w:val="0000EE"/>
            <w:u w:val="single"/>
          </w:rPr>
          <w:t>[1]</w:t>
        </w:r>
      </w:hyperlink>
      <w:r>
        <w:t xml:space="preserve"> (Business Today) </w:t>
      </w:r>
      <w:r/>
    </w:p>
    <w:p>
      <w:pPr>
        <w:pStyle w:val="ListBullet"/>
        <w:spacing w:line="240" w:lineRule="auto"/>
        <w:ind w:left="720"/>
      </w:pPr>
      <w:r/>
      <w:r>
        <w:t xml:space="preserve">Paragraph 6 – </w:t>
      </w:r>
      <w:hyperlink r:id="rId9">
        <w:r>
          <w:rPr>
            <w:color w:val="0000EE"/>
            <w:u w:val="single"/>
          </w:rPr>
          <w:t>[1]</w:t>
        </w:r>
      </w:hyperlink>
      <w:r>
        <w:t xml:space="preserve"> (Business Today) </w:t>
      </w:r>
      <w:r/>
    </w:p>
    <w:p>
      <w:pPr>
        <w:pStyle w:val="ListBullet"/>
        <w:spacing w:line="240" w:lineRule="auto"/>
        <w:ind w:left="720"/>
      </w:pPr>
      <w:r/>
      <w:r>
        <w:t xml:space="preserve">Paragraph 7 – </w:t>
      </w:r>
      <w:hyperlink r:id="rId10">
        <w:r>
          <w:rPr>
            <w:color w:val="0000EE"/>
            <w:u w:val="single"/>
          </w:rPr>
          <w:t>[5]</w:t>
        </w:r>
      </w:hyperlink>
      <w:r>
        <w:t xml:space="preserve"> (GlobalData), </w:t>
      </w:r>
      <w:hyperlink r:id="rId11">
        <w:r>
          <w:rPr>
            <w:color w:val="0000EE"/>
            <w:u w:val="single"/>
          </w:rPr>
          <w:t>[6]</w:t>
        </w:r>
      </w:hyperlink>
      <w:r>
        <w:t xml:space="preserve"> (Investing.com) </w:t>
      </w:r>
      <w:r/>
    </w:p>
    <w:p>
      <w:pPr>
        <w:pStyle w:val="ListBullet"/>
        <w:spacing w:line="240" w:lineRule="auto"/>
        <w:ind w:left="720"/>
      </w:pPr>
      <w:r/>
      <w:r>
        <w:t xml:space="preserve">Paragraph 8 – </w:t>
      </w:r>
      <w:hyperlink r:id="rId12">
        <w:r>
          <w:rPr>
            <w:color w:val="0000EE"/>
            <w:u w:val="single"/>
          </w:rPr>
          <w:t>[4]</w:t>
        </w:r>
      </w:hyperlink>
      <w:r>
        <w:t xml:space="preserve"> (Investing.com), </w:t>
      </w:r>
      <w:hyperlink r:id="rId13">
        <w:r>
          <w:rPr>
            <w:color w:val="0000EE"/>
            <w:u w:val="single"/>
          </w:rPr>
          <w:t>[3]</w:t>
        </w:r>
      </w:hyperlink>
      <w:r>
        <w:t xml:space="preserve"> (Nasdaq) </w:t>
      </w:r>
      <w:r/>
    </w:p>
    <w:p>
      <w:pPr>
        <w:pStyle w:val="ListBullet"/>
        <w:spacing w:line="240" w:lineRule="auto"/>
        <w:ind w:left="720"/>
      </w:pPr>
      <w:r/>
      <w:r>
        <w:t xml:space="preserve">Paragraph 9 – </w:t>
      </w:r>
      <w:hyperlink r:id="rId9">
        <w:r>
          <w:rPr>
            <w:color w:val="0000EE"/>
            <w:u w:val="single"/>
          </w:rPr>
          <w:t>[1]</w:t>
        </w:r>
      </w:hyperlink>
      <w:r>
        <w:t xml:space="preserve"> (Business Today), </w:t>
      </w:r>
      <w:hyperlink r:id="rId9">
        <w:r>
          <w:rPr>
            <w:color w:val="0000EE"/>
            <w:u w:val="single"/>
          </w:rPr>
          <w:t>[2]</w:t>
        </w:r>
      </w:hyperlink>
      <w:r>
        <w:t xml:space="preserve"> (Business Today)</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https://www.businesstoday.in/markets/stocks/story/jefferies-to-citi-these-15-stocks-are-hot-this-november-check-targets-and-cmps-500487-2025-11-02</w:t>
        </w:r>
      </w:hyperlink>
      <w:r>
        <w:t xml:space="preserve"> - Please view link - unable to able to access data</w:t>
      </w:r>
      <w:r/>
    </w:p>
    <w:p>
      <w:pPr>
        <w:pStyle w:val="ListNumber"/>
        <w:spacing w:line="240" w:lineRule="auto"/>
        <w:ind w:left="720"/>
      </w:pPr>
      <w:r/>
      <w:hyperlink r:id="rId9">
        <w:r>
          <w:rPr>
            <w:color w:val="0000EE"/>
            <w:u w:val="single"/>
          </w:rPr>
          <w:t>https://www.businesstoday.in/markets/stocks/story/jefferies-to-citi-these-15-stocks-are-hot-this-november-check-targets-and-cmps-500487-2025-11-02</w:t>
        </w:r>
      </w:hyperlink>
      <w:r>
        <w:t xml:space="preserve"> - Jefferies, Citi, Goldman Sachs, JP Morgan, and UBS have released their top stock picks for November, covering sectors such as pharmaceuticals, infrastructure, FMCG, banking, and real estate. These selections are supported by strong earnings visibility and improving margins, with analysts projecting double-digit growth through FY26 and FY27. Notable picks include Cipla, ITC, Swiggy, Navin Fluorine, Pidilite Industries, and DLF, each with specific targets and current market prices provided.</w:t>
      </w:r>
      <w:r/>
    </w:p>
    <w:p>
      <w:pPr>
        <w:pStyle w:val="ListNumber"/>
        <w:spacing w:line="240" w:lineRule="auto"/>
        <w:ind w:left="720"/>
      </w:pPr>
      <w:r/>
      <w:hyperlink r:id="rId13">
        <w:r>
          <w:rPr>
            <w:color w:val="0000EE"/>
            <w:u w:val="single"/>
          </w:rPr>
          <w:t>https://www.nasdaq.com/articles/goldman-sachs-maintains-jefferies-financial-group-jef-buy-recommendation</w:t>
        </w:r>
      </w:hyperlink>
      <w:r>
        <w:t xml:space="preserve"> - On October 14, 2025, Goldman Sachs maintained its 'Buy' recommendation for Jefferies Financial Group (NYSE:JEF). The average one-year price target is $76.16 per share, suggesting a 41.48% upside from the latest closing price of $53.83. The projected annual revenue is $6.235 billion, a decrease of 13.78%, with an anticipated non-GAAP EPS of $5.52.</w:t>
      </w:r>
      <w:r/>
    </w:p>
    <w:p>
      <w:pPr>
        <w:pStyle w:val="ListNumber"/>
        <w:spacing w:line="240" w:lineRule="auto"/>
        <w:ind w:left="720"/>
      </w:pPr>
      <w:r/>
      <w:hyperlink r:id="rId12">
        <w:r>
          <w:rPr>
            <w:color w:val="0000EE"/>
            <w:u w:val="single"/>
          </w:rPr>
          <w:t>https://www.investing.com/news/analyst-ratings/jpmorgan-stock-hard-to-ignore-with-2025-rotce-above-target-says-ubs-3815747</w:t>
        </w:r>
      </w:hyperlink>
      <w:r>
        <w:t xml:space="preserve"> - UBS increased its price target for JPMorgan shares to $287 from $276, maintaining a 'Buy' rating. The stock, trading near its 52-week high of $254.31, has delivered a 53.65% return over the past year. UBS projects JPMorgan's Return on Tangible Common Equity (ROTCE) to be 19% in 2025 and 18% in 2026, exceeding the bank's target of around 17%.</w:t>
      </w:r>
      <w:r/>
    </w:p>
    <w:p>
      <w:pPr>
        <w:pStyle w:val="ListNumber"/>
        <w:spacing w:line="240" w:lineRule="auto"/>
        <w:ind w:left="720"/>
      </w:pPr>
      <w:r/>
      <w:hyperlink r:id="rId10">
        <w:r>
          <w:rPr>
            <w:color w:val="0000EE"/>
            <w:u w:val="single"/>
          </w:rPr>
          <w:t>https://www.globaldata.com/media/business-fundamentals/jp-morgan-ubs-top-ma-financial-advisers-retail-sector-q1-q3-2025-finds-globaldata/</w:t>
        </w:r>
      </w:hyperlink>
      <w:r>
        <w:t xml:space="preserve"> - JP Morgan and UBS were the leading mergers and acquisitions (M&amp;A) financial advisers in the retail sector during the first three quarters of 2025, according to GlobalData. JP Morgan advised on $44.5 billion worth of deals, while UBS led in deal volume with nine transactions. Goldman Sachs and Citi followed in value, advising on $31.5 billion and $29.2 billion worth of deals, respectively.</w:t>
      </w:r>
      <w:r/>
    </w:p>
    <w:p>
      <w:pPr>
        <w:pStyle w:val="ListNumber"/>
        <w:spacing w:line="240" w:lineRule="auto"/>
        <w:ind w:left="720"/>
      </w:pPr>
      <w:r/>
      <w:hyperlink r:id="rId11">
        <w:r>
          <w:rPr>
            <w:color w:val="0000EE"/>
            <w:u w:val="single"/>
          </w:rPr>
          <w:t>https://www.retailbankerinternational.com/news/south-central-america-top-advisers-h1-2025/</w:t>
        </w:r>
      </w:hyperlink>
      <w:r>
        <w:t xml:space="preserve"> - Jefferies, Mizuho Financial Group, and Morgan Stanley emerged as the leading M&amp;A financial advisers by value in the South &amp; Central America region for the first half of 2025, each advising on a $9 billion deal. Citi led in deal volume, advising on three deals. The analysis highlights the significant role these firms play in high-value transactions in the region.</w:t>
      </w:r>
      <w:r/>
    </w:p>
    <w:p>
      <w:pPr>
        <w:pStyle w:val="ListNumber"/>
        <w:spacing w:line="240" w:lineRule="auto"/>
        <w:ind w:left="720"/>
      </w:pPr>
      <w:r/>
      <w:hyperlink r:id="rId15">
        <w:r>
          <w:rPr>
            <w:color w:val="0000EE"/>
            <w:u w:val="single"/>
          </w:rPr>
          <w:t>https://www.itiger.com/news/1122259204</w:t>
        </w:r>
      </w:hyperlink>
      <w:r>
        <w:t xml:space="preserve"> - This article provides insights into Wall Street's top stock calls for the week, including both 'Buy' and 'Sell' recommendations. Notably, Jefferies maintains a positive outlook on Wingstop, citing potential surprises beyond 2025 due to improvements in same-store sales and advancements in kitchen artificial intelligence. Additionally, Bank of America downgraded Lyft to 'Underperform,' citing concerns over autonomous vehicle risks and competition from Waymo.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markets/stocks/story/jefferies-to-citi-these-15-stocks-are-hot-this-november-check-targets-and-cmps-500487-2025-11-02" TargetMode="External"/><Relationship Id="rId10" Type="http://schemas.openxmlformats.org/officeDocument/2006/relationships/hyperlink" Target="https://www.globaldata.com/media/business-fundamentals/jp-morgan-ubs-top-ma-financial-advisers-retail-sector-q1-q3-2025-finds-globaldata/" TargetMode="External"/><Relationship Id="rId11" Type="http://schemas.openxmlformats.org/officeDocument/2006/relationships/hyperlink" Target="https://www.retailbankerinternational.com/news/south-central-america-top-advisers-h1-2025/" TargetMode="External"/><Relationship Id="rId12" Type="http://schemas.openxmlformats.org/officeDocument/2006/relationships/hyperlink" Target="https://www.investing.com/news/analyst-ratings/jpmorgan-stock-hard-to-ignore-with-2025-rotce-above-target-says-ubs-3815747" TargetMode="External"/><Relationship Id="rId13" Type="http://schemas.openxmlformats.org/officeDocument/2006/relationships/hyperlink" Target="https://www.nasdaq.com/articles/goldman-sachs-maintains-jefferies-financial-group-jef-buy-recommendation" TargetMode="External"/><Relationship Id="rId14" Type="http://schemas.openxmlformats.org/officeDocument/2006/relationships/hyperlink" Target="https://www.noahwire.com" TargetMode="External"/><Relationship Id="rId15" Type="http://schemas.openxmlformats.org/officeDocument/2006/relationships/hyperlink" Target="https://www.itiger.com/news/11222592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